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9361A27" w:rsidR="00E66558" w:rsidRDefault="00723F92">
      <w:pPr>
        <w:pStyle w:val="Heading1"/>
      </w:pPr>
      <w:bookmarkStart w:id="0" w:name="_Toc400361362"/>
      <w:bookmarkStart w:id="1" w:name="_Toc443397153"/>
      <w:bookmarkStart w:id="2" w:name="_Toc357771638"/>
      <w:bookmarkStart w:id="3" w:name="_Toc346793416"/>
      <w:bookmarkStart w:id="4" w:name="_Toc328122777"/>
      <w:r>
        <w:t xml:space="preserve">Harlington School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3D149F1" w:rsidR="00E66558" w:rsidRDefault="00AD7D1E">
            <w:pPr>
              <w:pStyle w:val="TableRow"/>
            </w:pPr>
            <w:r>
              <w:t>Harlington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5CFECA2" w:rsidR="00E66558" w:rsidRDefault="00D373CA">
            <w:pPr>
              <w:pStyle w:val="TableRow"/>
            </w:pPr>
            <w:r>
              <w:t>1260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C0F9624" w:rsidR="00E66558" w:rsidRDefault="00D90B6A">
            <w:pPr>
              <w:pStyle w:val="TableRow"/>
            </w:pPr>
            <w:r>
              <w:t xml:space="preserve">28% </w:t>
            </w:r>
            <w:r w:rsidR="001E483A">
              <w:t>(</w:t>
            </w:r>
            <w:r>
              <w:t>Mar 2021</w:t>
            </w:r>
            <w:r w:rsidR="001E483A">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669497C6"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w:t>
            </w:r>
            <w:r w:rsidR="00FE7DDE">
              <w:rPr>
                <w:b/>
                <w:bCs/>
                <w:szCs w:val="22"/>
              </w:rPr>
              <w:t xml:space="preserve"> </w:t>
            </w:r>
            <w:bookmarkStart w:id="14" w:name="_GoBack"/>
            <w:bookmarkEnd w:id="14"/>
            <w:r>
              <w:rPr>
                <w:b/>
                <w:bCs/>
                <w:szCs w:val="22"/>
              </w:rPr>
              <w:t>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7434AD0" w:rsidR="00E66558" w:rsidRDefault="00AB6EBE">
            <w:pPr>
              <w:pStyle w:val="TableRow"/>
            </w:pPr>
            <w:r>
              <w:t>3 years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DDD0B9D" w:rsidR="00E66558" w:rsidRPr="00723F92" w:rsidRDefault="007F2CEC">
            <w:pPr>
              <w:pStyle w:val="TableRow"/>
              <w:rPr>
                <w:color w:val="000000" w:themeColor="text1"/>
              </w:rPr>
            </w:pPr>
            <w:r w:rsidRPr="00723F92">
              <w:rPr>
                <w:color w:val="000000" w:themeColor="text1"/>
              </w:rPr>
              <w:t>Nov</w:t>
            </w:r>
            <w:r w:rsidR="00D373CA" w:rsidRPr="00723F92">
              <w:rPr>
                <w:color w:val="000000" w:themeColor="text1"/>
              </w:rPr>
              <w:t xml:space="preserve">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B2D594F" w:rsidR="00E66558" w:rsidRPr="00723F92" w:rsidRDefault="00723F92">
            <w:pPr>
              <w:pStyle w:val="TableRow"/>
              <w:rPr>
                <w:color w:val="000000" w:themeColor="text1"/>
              </w:rPr>
            </w:pPr>
            <w:r w:rsidRPr="00723F92">
              <w:rPr>
                <w:color w:val="000000" w:themeColor="text1"/>
              </w:rPr>
              <w:t>Nov</w:t>
            </w:r>
            <w:r w:rsidR="00D373CA" w:rsidRPr="00723F92">
              <w:rPr>
                <w:color w:val="000000" w:themeColor="text1"/>
              </w:rPr>
              <w:t xml:space="preserve">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05A0E0B" w:rsidR="00E66558" w:rsidRDefault="00AB6EBE">
            <w:pPr>
              <w:pStyle w:val="TableRow"/>
            </w:pPr>
            <w:r>
              <w:t>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3B1C6F9" w:rsidR="00E66558" w:rsidRDefault="00AB6EBE">
            <w:pPr>
              <w:pStyle w:val="TableRow"/>
            </w:pPr>
            <w:r>
              <w:t>Deputy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7777777" w:rsidR="00E66558" w:rsidRDefault="00E66558">
            <w:pPr>
              <w:pStyle w:val="TableRow"/>
            </w:pP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C3B9C19" w:rsidR="00E66558" w:rsidRPr="008F324F" w:rsidRDefault="009D71E8">
            <w:pPr>
              <w:pStyle w:val="TableRow"/>
              <w:rPr>
                <w:color w:val="0070C0"/>
              </w:rPr>
            </w:pPr>
            <w:r w:rsidRPr="008F324F">
              <w:rPr>
                <w:color w:val="0070C0"/>
              </w:rPr>
              <w:t>£</w:t>
            </w:r>
            <w:r w:rsidR="00723F92" w:rsidRPr="008F324F">
              <w:rPr>
                <w:color w:val="0070C0"/>
              </w:rPr>
              <w:t>3</w:t>
            </w:r>
            <w:r w:rsidR="008F324F" w:rsidRPr="008F324F">
              <w:rPr>
                <w:color w:val="0070C0"/>
              </w:rPr>
              <w:t>66,743</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83DD260" w:rsidR="00E66558" w:rsidRPr="008F324F" w:rsidRDefault="009D71E8">
            <w:pPr>
              <w:pStyle w:val="TableRow"/>
              <w:rPr>
                <w:color w:val="0070C0"/>
              </w:rPr>
            </w:pPr>
            <w:r w:rsidRPr="008F324F">
              <w:rPr>
                <w:color w:val="0070C0"/>
              </w:rPr>
              <w:t>£</w:t>
            </w:r>
            <w:r w:rsidR="00723F92" w:rsidRPr="008F324F">
              <w:rPr>
                <w:color w:val="0070C0"/>
              </w:rPr>
              <w:t xml:space="preserve"> </w:t>
            </w:r>
            <w:r w:rsidR="008F324F" w:rsidRPr="008F324F">
              <w:rPr>
                <w:color w:val="0070C0"/>
              </w:rPr>
              <w:t>56,419</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6BC716F" w:rsidR="00E66558" w:rsidRPr="00FD5F4E" w:rsidRDefault="009D71E8">
            <w:pPr>
              <w:pStyle w:val="TableRow"/>
              <w:rPr>
                <w:color w:val="FF0000"/>
              </w:rPr>
            </w:pPr>
            <w:r w:rsidRPr="007D0011">
              <w:rPr>
                <w:color w:val="0070C0"/>
              </w:rPr>
              <w:t>£</w:t>
            </w:r>
            <w:r w:rsidR="00723F92" w:rsidRPr="007D0011">
              <w:rPr>
                <w:color w:val="0070C0"/>
              </w:rPr>
              <w:t xml:space="preserve"> </w:t>
            </w:r>
            <w:r w:rsidR="008F324F">
              <w:rPr>
                <w:color w:val="0070C0"/>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7BECCD1" w:rsidR="00E66558" w:rsidRPr="00FD5F4E" w:rsidRDefault="009D71E8">
            <w:pPr>
              <w:pStyle w:val="TableRow"/>
              <w:rPr>
                <w:color w:val="FF0000"/>
              </w:rPr>
            </w:pPr>
            <w:r w:rsidRPr="007D0011">
              <w:rPr>
                <w:color w:val="0070C0"/>
              </w:rPr>
              <w:t>£</w:t>
            </w:r>
            <w:r w:rsidR="008F324F">
              <w:rPr>
                <w:color w:val="0070C0"/>
              </w:rPr>
              <w:t>423,162</w:t>
            </w:r>
          </w:p>
        </w:tc>
      </w:tr>
    </w:tbl>
    <w:p w14:paraId="2A7D54E5" w14:textId="57D08178" w:rsidR="00E66558" w:rsidRDefault="009D71E8" w:rsidP="002C062A">
      <w:pPr>
        <w:pStyle w:val="Heading1"/>
      </w:pPr>
      <w:r>
        <w:lastRenderedPageBreak/>
        <w:t>Part A: Pupil premium strategy plan</w:t>
      </w:r>
      <w:bookmarkStart w:id="15" w:name="_Toc357771640"/>
      <w:bookmarkStart w:id="16" w:name="_Toc346793418"/>
      <w:r w:rsidR="002C062A">
        <w:t xml:space="preserve">                      </w:t>
      </w:r>
      <w:r w:rsidR="002C062A" w:rsidRPr="002C062A">
        <w:rPr>
          <w:sz w:val="28"/>
        </w:rPr>
        <w:t>Statement of intent for Harlington School</w:t>
      </w:r>
    </w:p>
    <w:tbl>
      <w:tblPr>
        <w:tblW w:w="10207" w:type="dxa"/>
        <w:tblInd w:w="-147" w:type="dxa"/>
        <w:tblCellMar>
          <w:left w:w="10" w:type="dxa"/>
          <w:right w:w="10" w:type="dxa"/>
        </w:tblCellMar>
        <w:tblLook w:val="04A0" w:firstRow="1" w:lastRow="0" w:firstColumn="1" w:lastColumn="0" w:noHBand="0" w:noVBand="1"/>
      </w:tblPr>
      <w:tblGrid>
        <w:gridCol w:w="10207"/>
      </w:tblGrid>
      <w:tr w:rsidR="00E66558" w:rsidRPr="009A197F" w14:paraId="2A7D54EA" w14:textId="77777777" w:rsidTr="00DF740F">
        <w:trPr>
          <w:trHeight w:val="841"/>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10B3" w14:textId="1C4F5A16" w:rsidR="005E22F1" w:rsidRPr="005E22F1" w:rsidRDefault="002C062A" w:rsidP="00723F92">
            <w:pPr>
              <w:suppressAutoHyphens w:val="0"/>
              <w:overflowPunct w:val="0"/>
              <w:autoSpaceDE w:val="0"/>
              <w:adjustRightInd w:val="0"/>
              <w:spacing w:after="0" w:line="240" w:lineRule="auto"/>
              <w:jc w:val="both"/>
              <w:rPr>
                <w:rFonts w:cs="Arial"/>
                <w:b/>
                <w:color w:val="000000" w:themeColor="text1"/>
                <w:lang w:eastAsia="en-US"/>
              </w:rPr>
            </w:pPr>
            <w:r w:rsidRPr="005E22F1">
              <w:rPr>
                <w:rFonts w:cs="Arial"/>
                <w:b/>
                <w:color w:val="000000" w:themeColor="text1"/>
                <w:lang w:eastAsia="en-US"/>
              </w:rPr>
              <w:t>The Pupil Premium</w:t>
            </w:r>
            <w:r w:rsidR="005E22F1" w:rsidRPr="005E22F1">
              <w:rPr>
                <w:rFonts w:cs="Arial"/>
                <w:b/>
                <w:color w:val="000000" w:themeColor="text1"/>
                <w:lang w:eastAsia="en-US"/>
              </w:rPr>
              <w:t xml:space="preserve"> Strategy Plan</w:t>
            </w:r>
          </w:p>
          <w:p w14:paraId="7B0CF5EF" w14:textId="6B83A004" w:rsidR="005E22F1" w:rsidRPr="005E22F1" w:rsidRDefault="005E22F1" w:rsidP="00723F92">
            <w:pPr>
              <w:suppressAutoHyphens w:val="0"/>
              <w:autoSpaceDN/>
              <w:spacing w:before="100" w:beforeAutospacing="1" w:after="100" w:afterAutospacing="1" w:line="240" w:lineRule="auto"/>
              <w:jc w:val="both"/>
              <w:rPr>
                <w:rFonts w:cs="Arial"/>
                <w:color w:val="000000" w:themeColor="text1"/>
              </w:rPr>
            </w:pPr>
            <w:r w:rsidRPr="005E22F1">
              <w:rPr>
                <w:rFonts w:cs="Arial"/>
                <w:color w:val="000000" w:themeColor="text1"/>
              </w:rPr>
              <w:t xml:space="preserve">Harlington adopts a whole school approach to </w:t>
            </w:r>
            <w:r w:rsidR="002C062A" w:rsidRPr="005E22F1">
              <w:rPr>
                <w:rFonts w:cs="Arial"/>
                <w:color w:val="000000" w:themeColor="text1"/>
              </w:rPr>
              <w:t>pupil premium</w:t>
            </w:r>
            <w:r w:rsidRPr="005E22F1">
              <w:rPr>
                <w:rFonts w:cs="Arial"/>
                <w:color w:val="000000" w:themeColor="text1"/>
              </w:rPr>
              <w:t xml:space="preserve">. This is primarily because we have a high percentage of students on pupil premium </w:t>
            </w:r>
            <w:r w:rsidR="008F324F">
              <w:rPr>
                <w:rFonts w:cs="Arial"/>
                <w:color w:val="000000" w:themeColor="text1"/>
              </w:rPr>
              <w:t>387.</w:t>
            </w:r>
            <w:r w:rsidRPr="00BE3A26">
              <w:rPr>
                <w:rFonts w:cs="Arial"/>
                <w:color w:val="FF0000"/>
              </w:rPr>
              <w:t xml:space="preserve"> </w:t>
            </w:r>
            <w:r>
              <w:rPr>
                <w:rFonts w:cs="Arial"/>
                <w:color w:val="000000" w:themeColor="text1"/>
              </w:rPr>
              <w:t xml:space="preserve">Whenever we have developed strategies for our pupils, we have developed it with value that all students have equal rights to a good educational base from which to launch their careers and future endeavours. The success of this approach can be tracked through the progress of our pupil premium students. With the advent of </w:t>
            </w:r>
            <w:proofErr w:type="spellStart"/>
            <w:r>
              <w:rPr>
                <w:rFonts w:cs="Arial"/>
                <w:color w:val="000000" w:themeColor="text1"/>
              </w:rPr>
              <w:t>Covid</w:t>
            </w:r>
            <w:proofErr w:type="spellEnd"/>
            <w:r>
              <w:rPr>
                <w:rFonts w:cs="Arial"/>
                <w:color w:val="000000" w:themeColor="text1"/>
              </w:rPr>
              <w:t xml:space="preserve"> and its impact on so many disadvantaged students, it is even more important to track the progress of pupil premium students robustly. We have taken on board the broader definition from the DfE used in the disbursement of the National Tutoring Funds to ensure that all </w:t>
            </w:r>
            <w:r w:rsidR="00AD0CC8">
              <w:rPr>
                <w:rFonts w:cs="Arial"/>
                <w:color w:val="000000" w:themeColor="text1"/>
              </w:rPr>
              <w:t xml:space="preserve">our </w:t>
            </w:r>
            <w:r>
              <w:rPr>
                <w:rFonts w:cs="Arial"/>
                <w:color w:val="000000" w:themeColor="text1"/>
              </w:rPr>
              <w:t>disa</w:t>
            </w:r>
            <w:r w:rsidR="00AD0CC8">
              <w:rPr>
                <w:rFonts w:cs="Arial"/>
                <w:color w:val="000000" w:themeColor="text1"/>
              </w:rPr>
              <w:t>d</w:t>
            </w:r>
            <w:r>
              <w:rPr>
                <w:rFonts w:cs="Arial"/>
                <w:color w:val="000000" w:themeColor="text1"/>
              </w:rPr>
              <w:t>vantaged students are supported and their progress rigorously monitored.</w:t>
            </w:r>
          </w:p>
          <w:p w14:paraId="5346A5AF" w14:textId="2A731BF2" w:rsidR="00AD0CC8" w:rsidRDefault="00AD0CC8" w:rsidP="00723F92">
            <w:pPr>
              <w:suppressAutoHyphens w:val="0"/>
              <w:autoSpaceDN/>
              <w:spacing w:before="100" w:beforeAutospacing="1" w:after="100" w:afterAutospacing="1" w:line="240" w:lineRule="auto"/>
              <w:jc w:val="both"/>
              <w:rPr>
                <w:rFonts w:cs="Arial"/>
                <w:color w:val="000000" w:themeColor="text1"/>
              </w:rPr>
            </w:pPr>
            <w:r>
              <w:rPr>
                <w:rFonts w:cs="Arial"/>
                <w:color w:val="000000" w:themeColor="text1"/>
              </w:rPr>
              <w:t>We track the progress of students using the 4-Matrix data analysis system. This allows us to track each year group and by ethnic codes, disadvantage, SEN/D, gender and any other additional areas that we wish to keep under review. Staff are able to fully access this data and use it in their planning for the needs of students.</w:t>
            </w:r>
          </w:p>
          <w:p w14:paraId="6C991C6F" w14:textId="236F2D32" w:rsidR="00AD0CC8" w:rsidRDefault="00AD0CC8" w:rsidP="00AD0CC8">
            <w:pPr>
              <w:suppressAutoHyphens w:val="0"/>
              <w:autoSpaceDN/>
              <w:spacing w:before="100" w:beforeAutospacing="1" w:after="100" w:afterAutospacing="1" w:line="240" w:lineRule="auto"/>
              <w:jc w:val="both"/>
            </w:pPr>
            <w:r>
              <w:rPr>
                <w:rFonts w:cs="Arial"/>
                <w:color w:val="000000" w:themeColor="text1"/>
              </w:rPr>
              <w:t>Our student profile is changing. Where our coverage averaged 75% over the years, we are currently running at</w:t>
            </w:r>
            <w:r>
              <w:t xml:space="preserve"> 78% coverage in 2021. The percentage of high and low ability students is gradually moving from large numbers of LAP’s and small numbers of HAPs, to more equal percentages of LAPs and MAPs, with over 60% MAPs. </w:t>
            </w:r>
          </w:p>
          <w:p w14:paraId="172EA74C" w14:textId="28D20A99" w:rsidR="00F80490" w:rsidRPr="00F80490" w:rsidRDefault="00F80490" w:rsidP="00723F92">
            <w:pPr>
              <w:suppressAutoHyphens w:val="0"/>
              <w:autoSpaceDN/>
              <w:spacing w:before="100" w:beforeAutospacing="1" w:after="100" w:afterAutospacing="1" w:line="240" w:lineRule="auto"/>
              <w:jc w:val="both"/>
              <w:rPr>
                <w:rFonts w:cs="Arial"/>
                <w:b/>
                <w:color w:val="000000" w:themeColor="text1"/>
                <w:u w:val="single"/>
              </w:rPr>
            </w:pPr>
            <w:r w:rsidRPr="00F80490">
              <w:rPr>
                <w:rFonts w:cs="Arial"/>
                <w:b/>
                <w:color w:val="000000" w:themeColor="text1"/>
                <w:u w:val="single"/>
              </w:rPr>
              <w:t>Monitoring and Tracking</w:t>
            </w:r>
          </w:p>
          <w:p w14:paraId="0A87C7C1" w14:textId="4EAA8563" w:rsidR="002C062A" w:rsidRPr="00F80490" w:rsidRDefault="00F80490" w:rsidP="00723F92">
            <w:pPr>
              <w:suppressAutoHyphens w:val="0"/>
              <w:autoSpaceDN/>
              <w:spacing w:before="100" w:beforeAutospacing="1" w:after="100" w:afterAutospacing="1" w:line="240" w:lineRule="auto"/>
              <w:jc w:val="both"/>
              <w:rPr>
                <w:rFonts w:cs="Arial"/>
                <w:color w:val="000000" w:themeColor="text1"/>
              </w:rPr>
            </w:pPr>
            <w:r w:rsidRPr="00F80490">
              <w:rPr>
                <w:rFonts w:cs="Arial"/>
                <w:color w:val="000000" w:themeColor="text1"/>
              </w:rPr>
              <w:t>We</w:t>
            </w:r>
            <w:r w:rsidR="00AD0CC8" w:rsidRPr="00F80490">
              <w:rPr>
                <w:rFonts w:cs="Arial"/>
                <w:color w:val="000000" w:themeColor="text1"/>
              </w:rPr>
              <w:t xml:space="preserve"> employ</w:t>
            </w:r>
            <w:r w:rsidRPr="00F80490">
              <w:rPr>
                <w:rFonts w:cs="Arial"/>
                <w:color w:val="000000" w:themeColor="text1"/>
              </w:rPr>
              <w:t xml:space="preserve"> a</w:t>
            </w:r>
            <w:r w:rsidR="00AD0CC8" w:rsidRPr="00F80490">
              <w:rPr>
                <w:rFonts w:cs="Arial"/>
                <w:color w:val="000000" w:themeColor="text1"/>
              </w:rPr>
              <w:t xml:space="preserve"> </w:t>
            </w:r>
            <w:r w:rsidR="002C062A" w:rsidRPr="00F80490">
              <w:rPr>
                <w:rFonts w:cs="Arial"/>
                <w:color w:val="000000" w:themeColor="text1"/>
              </w:rPr>
              <w:t>tiered</w:t>
            </w:r>
            <w:r w:rsidRPr="00F80490">
              <w:rPr>
                <w:rFonts w:cs="Arial"/>
                <w:color w:val="000000" w:themeColor="text1"/>
              </w:rPr>
              <w:t xml:space="preserve"> pupil progress monitoring a</w:t>
            </w:r>
            <w:r w:rsidR="002C062A" w:rsidRPr="00F80490">
              <w:rPr>
                <w:rFonts w:cs="Arial"/>
                <w:color w:val="000000" w:themeColor="text1"/>
              </w:rPr>
              <w:t xml:space="preserve">pproach for raising </w:t>
            </w:r>
            <w:r w:rsidR="00AD0CC8" w:rsidRPr="00F80490">
              <w:rPr>
                <w:rFonts w:cs="Arial"/>
                <w:color w:val="000000" w:themeColor="text1"/>
              </w:rPr>
              <w:t xml:space="preserve">attainment and progress where everyone has responsibility for the progress of the children </w:t>
            </w:r>
            <w:r w:rsidRPr="00F80490">
              <w:rPr>
                <w:rFonts w:cs="Arial"/>
                <w:color w:val="000000" w:themeColor="text1"/>
              </w:rPr>
              <w:t>in their subject area</w:t>
            </w:r>
          </w:p>
          <w:p w14:paraId="1606FC80" w14:textId="5C054CF0" w:rsidR="002C062A" w:rsidRPr="00F80490" w:rsidRDefault="002C062A" w:rsidP="00723F92">
            <w:pPr>
              <w:numPr>
                <w:ilvl w:val="0"/>
                <w:numId w:val="14"/>
              </w:numPr>
              <w:suppressAutoHyphens w:val="0"/>
              <w:autoSpaceDN/>
              <w:spacing w:before="100" w:beforeAutospacing="1" w:after="100" w:afterAutospacing="1" w:line="240" w:lineRule="auto"/>
              <w:jc w:val="both"/>
              <w:rPr>
                <w:rFonts w:cs="Arial"/>
                <w:color w:val="000000" w:themeColor="text1"/>
              </w:rPr>
            </w:pPr>
            <w:r w:rsidRPr="00F80490">
              <w:rPr>
                <w:rFonts w:cs="Arial"/>
                <w:color w:val="000000" w:themeColor="text1"/>
              </w:rPr>
              <w:t>Teacher level – Individual class context using 4Matrix</w:t>
            </w:r>
            <w:r w:rsidR="00AD0CC8" w:rsidRPr="00F80490">
              <w:rPr>
                <w:rFonts w:cs="Arial"/>
                <w:color w:val="000000" w:themeColor="text1"/>
              </w:rPr>
              <w:t xml:space="preserve"> and tracked intervention on Sims</w:t>
            </w:r>
          </w:p>
          <w:p w14:paraId="2511759F" w14:textId="77777777" w:rsidR="002C062A" w:rsidRPr="00F80490" w:rsidRDefault="002C062A" w:rsidP="00723F92">
            <w:pPr>
              <w:numPr>
                <w:ilvl w:val="0"/>
                <w:numId w:val="14"/>
              </w:numPr>
              <w:suppressAutoHyphens w:val="0"/>
              <w:autoSpaceDN/>
              <w:spacing w:before="100" w:beforeAutospacing="1" w:after="100" w:afterAutospacing="1" w:line="240" w:lineRule="auto"/>
              <w:jc w:val="both"/>
              <w:rPr>
                <w:rFonts w:cs="Arial"/>
                <w:color w:val="000000" w:themeColor="text1"/>
              </w:rPr>
            </w:pPr>
            <w:r w:rsidRPr="00F80490">
              <w:rPr>
                <w:rFonts w:cs="Arial"/>
                <w:color w:val="000000" w:themeColor="text1"/>
              </w:rPr>
              <w:t>Curriculum level – Paired SLT lesson observations, Updated FDPs and Results analysis with nominated SLT/Headteacher</w:t>
            </w:r>
          </w:p>
          <w:p w14:paraId="29DA144D" w14:textId="7B45B899" w:rsidR="002C062A" w:rsidRPr="00F80490" w:rsidRDefault="002C062A" w:rsidP="00723F92">
            <w:pPr>
              <w:numPr>
                <w:ilvl w:val="0"/>
                <w:numId w:val="14"/>
              </w:numPr>
              <w:suppressAutoHyphens w:val="0"/>
              <w:autoSpaceDN/>
              <w:spacing w:before="100" w:beforeAutospacing="1" w:after="100" w:afterAutospacing="1" w:line="240" w:lineRule="auto"/>
              <w:jc w:val="both"/>
              <w:rPr>
                <w:rFonts w:cs="Arial"/>
                <w:color w:val="000000" w:themeColor="text1"/>
              </w:rPr>
            </w:pPr>
            <w:r w:rsidRPr="00F80490">
              <w:rPr>
                <w:rFonts w:cs="Arial"/>
                <w:color w:val="000000" w:themeColor="text1"/>
              </w:rPr>
              <w:t xml:space="preserve">SLT level – Named senior member responsible for overseeing the approach, </w:t>
            </w:r>
            <w:r w:rsidR="00723F92" w:rsidRPr="00F80490">
              <w:rPr>
                <w:rFonts w:cs="Arial"/>
                <w:color w:val="000000" w:themeColor="text1"/>
              </w:rPr>
              <w:t>Progress and Attainment</w:t>
            </w:r>
            <w:r w:rsidRPr="00F80490">
              <w:rPr>
                <w:rFonts w:cs="Arial"/>
                <w:color w:val="000000" w:themeColor="text1"/>
              </w:rPr>
              <w:t xml:space="preserve"> meetings with CLs personalised to track groups of students.</w:t>
            </w:r>
          </w:p>
          <w:p w14:paraId="4E1494B2" w14:textId="2ABF1788" w:rsidR="00F80490" w:rsidRPr="00952D13" w:rsidRDefault="002C062A" w:rsidP="00723F92">
            <w:pPr>
              <w:suppressAutoHyphens w:val="0"/>
              <w:autoSpaceDN/>
              <w:spacing w:before="100" w:beforeAutospacing="1" w:after="100" w:afterAutospacing="1" w:line="240" w:lineRule="auto"/>
              <w:jc w:val="both"/>
              <w:rPr>
                <w:rFonts w:cs="Arial"/>
                <w:color w:val="C00000"/>
              </w:rPr>
            </w:pPr>
            <w:r w:rsidRPr="00F80490">
              <w:rPr>
                <w:rFonts w:cs="Arial"/>
                <w:color w:val="000000" w:themeColor="text1"/>
              </w:rPr>
              <w:t xml:space="preserve">The rationale behind implementing this type of approach was to secure a shared and distributive model of accountability and monitoring, broadening the profile of the pupil premium strategy, and raise awareness of the national agenda to close gaps within school groups. This would fit in with the </w:t>
            </w:r>
            <w:r w:rsidR="00F80490" w:rsidRPr="00F80490">
              <w:rPr>
                <w:rFonts w:cs="Arial"/>
                <w:color w:val="000000" w:themeColor="text1"/>
              </w:rPr>
              <w:t>National Tutoring Fund strategies of providing support for all disadvantaged children not just those disadvantaged by FSM criteria</w:t>
            </w:r>
            <w:r w:rsidRPr="00F80490">
              <w:rPr>
                <w:rFonts w:cs="Arial"/>
                <w:color w:val="000000" w:themeColor="text1"/>
              </w:rPr>
              <w:t>.</w:t>
            </w:r>
            <w:r w:rsidR="00F80490">
              <w:rPr>
                <w:rFonts w:cs="Arial"/>
                <w:color w:val="000000" w:themeColor="text1"/>
              </w:rPr>
              <w:t xml:space="preserve"> </w:t>
            </w:r>
          </w:p>
          <w:p w14:paraId="0C18B56D" w14:textId="6BA6B901" w:rsidR="001E483A" w:rsidRPr="00952D13" w:rsidRDefault="00F80490" w:rsidP="00723F92">
            <w:pPr>
              <w:suppressAutoHyphens w:val="0"/>
              <w:autoSpaceDN/>
              <w:spacing w:before="100" w:beforeAutospacing="1" w:after="100" w:afterAutospacing="1" w:line="240" w:lineRule="auto"/>
              <w:jc w:val="both"/>
              <w:rPr>
                <w:rFonts w:cs="Arial"/>
                <w:color w:val="000000" w:themeColor="text1"/>
              </w:rPr>
            </w:pPr>
            <w:r w:rsidRPr="00952D13">
              <w:rPr>
                <w:rFonts w:cs="Arial"/>
                <w:color w:val="000000" w:themeColor="text1"/>
              </w:rPr>
              <w:t>In some areas it is possible to identify where there has been direct spending of the premium ‘on’ the target students</w:t>
            </w:r>
            <w:r w:rsidR="00952D13" w:rsidRPr="00952D13">
              <w:rPr>
                <w:rFonts w:cs="Arial"/>
                <w:color w:val="000000" w:themeColor="text1"/>
              </w:rPr>
              <w:t xml:space="preserve"> and the impact that has had on the progress of the student</w:t>
            </w:r>
            <w:r w:rsidRPr="00952D13">
              <w:rPr>
                <w:rFonts w:cs="Arial"/>
                <w:color w:val="000000" w:themeColor="text1"/>
              </w:rPr>
              <w:t xml:space="preserve">. </w:t>
            </w:r>
            <w:r w:rsidR="00952D13" w:rsidRPr="00952D13">
              <w:rPr>
                <w:rFonts w:cs="Arial"/>
                <w:color w:val="000000" w:themeColor="text1"/>
              </w:rPr>
              <w:t>However, i</w:t>
            </w:r>
            <w:r w:rsidRPr="00952D13">
              <w:rPr>
                <w:rFonts w:cs="Arial"/>
                <w:color w:val="000000" w:themeColor="text1"/>
              </w:rPr>
              <w:t>n most</w:t>
            </w:r>
            <w:r w:rsidR="00952D13" w:rsidRPr="00952D13">
              <w:rPr>
                <w:rFonts w:cs="Arial"/>
                <w:color w:val="000000" w:themeColor="text1"/>
              </w:rPr>
              <w:t xml:space="preserve"> areas</w:t>
            </w:r>
            <w:r w:rsidRPr="00952D13">
              <w:rPr>
                <w:rFonts w:cs="Arial"/>
                <w:color w:val="000000" w:themeColor="text1"/>
              </w:rPr>
              <w:t>, the spending has been ‘for’ the students. The distinction is that money spent for the students is likely to have an impact for all students. Without the premium the additional spending would not have been possible and the extra support/intervention would not be in place. The best example of this is when looking at staffing. The provision of extra staffing has allowed us to reduce class sizes therefore allowing for more personal support within class, and set up targeted intervention.</w:t>
            </w:r>
          </w:p>
          <w:p w14:paraId="2A7D54E9" w14:textId="51B802D6" w:rsidR="002C062A" w:rsidRPr="0095269A" w:rsidRDefault="002C062A" w:rsidP="00F80490">
            <w:pPr>
              <w:suppressAutoHyphens w:val="0"/>
              <w:autoSpaceDN/>
              <w:spacing w:before="100" w:beforeAutospacing="1" w:after="100" w:afterAutospacing="1" w:line="240" w:lineRule="auto"/>
              <w:jc w:val="both"/>
              <w:rPr>
                <w:rFonts w:cs="Arial"/>
                <w:i/>
                <w:iCs/>
              </w:rPr>
            </w:pPr>
            <w:r w:rsidRPr="0095269A">
              <w:rPr>
                <w:rFonts w:cs="Arial"/>
                <w:color w:val="000000" w:themeColor="text1"/>
              </w:rPr>
              <w:lastRenderedPageBreak/>
              <w:t xml:space="preserve">Strategies and activities used on the Toolkit have been recommended by The Sutton Trust; Education Endowment Fund; Teaching Schools Council and the National College for Teaching and Leadership. </w:t>
            </w:r>
          </w:p>
        </w:tc>
      </w:tr>
    </w:tbl>
    <w:p w14:paraId="2A7D54EB" w14:textId="48B5906E"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452" w:type="pct"/>
        <w:tblCellMar>
          <w:left w:w="10" w:type="dxa"/>
          <w:right w:w="10" w:type="dxa"/>
        </w:tblCellMar>
        <w:tblLook w:val="04A0" w:firstRow="1" w:lastRow="0" w:firstColumn="1" w:lastColumn="0" w:noHBand="0" w:noVBand="1"/>
      </w:tblPr>
      <w:tblGrid>
        <w:gridCol w:w="1552"/>
        <w:gridCol w:w="8792"/>
      </w:tblGrid>
      <w:tr w:rsidR="00E66558" w14:paraId="2A7D54EF" w14:textId="77777777" w:rsidTr="00B45545">
        <w:trPr>
          <w:trHeight w:val="865"/>
        </w:trPr>
        <w:tc>
          <w:tcPr>
            <w:tcW w:w="15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7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824EB1" w14:paraId="2A7D54F2" w14:textId="77777777" w:rsidTr="00B45545">
        <w:trPr>
          <w:trHeight w:val="485"/>
        </w:trPr>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A7D54F0" w14:textId="77777777" w:rsidR="00824EB1" w:rsidRDefault="00824EB1" w:rsidP="00824EB1">
            <w:pPr>
              <w:pStyle w:val="TableRow"/>
              <w:rPr>
                <w:sz w:val="22"/>
                <w:szCs w:val="22"/>
              </w:rPr>
            </w:pPr>
            <w:r>
              <w:rPr>
                <w:sz w:val="22"/>
                <w:szCs w:val="22"/>
              </w:rPr>
              <w:t>1</w:t>
            </w:r>
          </w:p>
        </w:tc>
        <w:tc>
          <w:tcPr>
            <w:tcW w:w="87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A7D54F1" w14:textId="4E6C7A64" w:rsidR="00824EB1" w:rsidRPr="00BC4532" w:rsidRDefault="002F095A" w:rsidP="00824EB1">
            <w:pPr>
              <w:pStyle w:val="TableRowCentered"/>
              <w:jc w:val="left"/>
              <w:rPr>
                <w:color w:val="000000" w:themeColor="text1"/>
                <w:sz w:val="22"/>
                <w:szCs w:val="22"/>
              </w:rPr>
            </w:pPr>
            <w:r w:rsidRPr="00BC4532">
              <w:rPr>
                <w:color w:val="000000" w:themeColor="text1"/>
                <w:sz w:val="22"/>
                <w:szCs w:val="22"/>
              </w:rPr>
              <w:t>The impact of lockdown on</w:t>
            </w:r>
            <w:r w:rsidR="00900A38">
              <w:rPr>
                <w:color w:val="000000" w:themeColor="text1"/>
                <w:sz w:val="22"/>
                <w:szCs w:val="22"/>
              </w:rPr>
              <w:t xml:space="preserve"> attainment</w:t>
            </w:r>
            <w:r w:rsidR="009A3E89">
              <w:rPr>
                <w:color w:val="000000" w:themeColor="text1"/>
                <w:sz w:val="22"/>
                <w:szCs w:val="22"/>
              </w:rPr>
              <w:t xml:space="preserve"> and progress</w:t>
            </w:r>
          </w:p>
        </w:tc>
      </w:tr>
      <w:tr w:rsidR="00B45545" w14:paraId="27674824" w14:textId="77777777" w:rsidTr="00B45545">
        <w:trPr>
          <w:trHeight w:val="485"/>
        </w:trPr>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62DD9A7" w14:textId="27BDC53B" w:rsidR="00B45545" w:rsidRDefault="00B45545" w:rsidP="00B45545">
            <w:pPr>
              <w:pStyle w:val="TableRow"/>
              <w:rPr>
                <w:sz w:val="22"/>
                <w:szCs w:val="22"/>
              </w:rPr>
            </w:pPr>
            <w:r>
              <w:rPr>
                <w:sz w:val="22"/>
                <w:szCs w:val="22"/>
              </w:rPr>
              <w:t>2</w:t>
            </w:r>
          </w:p>
        </w:tc>
        <w:tc>
          <w:tcPr>
            <w:tcW w:w="87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803DDF8" w14:textId="7F5722BC" w:rsidR="00B45545" w:rsidRPr="00BC4532" w:rsidRDefault="00B45545" w:rsidP="00B45545">
            <w:pPr>
              <w:pStyle w:val="TableRowCentered"/>
              <w:jc w:val="left"/>
              <w:rPr>
                <w:color w:val="000000" w:themeColor="text1"/>
                <w:sz w:val="22"/>
                <w:szCs w:val="22"/>
              </w:rPr>
            </w:pPr>
            <w:r w:rsidRPr="00BC4532">
              <w:rPr>
                <w:color w:val="000000" w:themeColor="text1"/>
                <w:sz w:val="22"/>
                <w:szCs w:val="22"/>
              </w:rPr>
              <w:t>Poor adaptation and a lack of access to adequate resources for remote learning</w:t>
            </w:r>
            <w:r w:rsidR="00BE3A26">
              <w:rPr>
                <w:color w:val="000000" w:themeColor="text1"/>
                <w:sz w:val="22"/>
                <w:szCs w:val="22"/>
              </w:rPr>
              <w:t xml:space="preserve"> and resource rich learning such as music</w:t>
            </w:r>
            <w:r w:rsidR="00431EF6">
              <w:rPr>
                <w:color w:val="000000" w:themeColor="text1"/>
                <w:sz w:val="22"/>
                <w:szCs w:val="22"/>
              </w:rPr>
              <w:t xml:space="preserve"> and </w:t>
            </w:r>
            <w:proofErr w:type="gramStart"/>
            <w:r w:rsidR="00431EF6">
              <w:rPr>
                <w:color w:val="000000" w:themeColor="text1"/>
                <w:sz w:val="22"/>
                <w:szCs w:val="22"/>
              </w:rPr>
              <w:t xml:space="preserve">Trips </w:t>
            </w:r>
            <w:r w:rsidR="00BE3A26">
              <w:rPr>
                <w:color w:val="000000" w:themeColor="text1"/>
                <w:sz w:val="22"/>
                <w:szCs w:val="22"/>
              </w:rPr>
              <w:t xml:space="preserve"> –</w:t>
            </w:r>
            <w:proofErr w:type="gramEnd"/>
            <w:r w:rsidR="00BE3A26">
              <w:rPr>
                <w:color w:val="000000" w:themeColor="text1"/>
                <w:sz w:val="22"/>
                <w:szCs w:val="22"/>
              </w:rPr>
              <w:t xml:space="preserve"> to support equal access to learning </w:t>
            </w:r>
          </w:p>
        </w:tc>
      </w:tr>
      <w:tr w:rsidR="00B45545" w14:paraId="2A7D54F5" w14:textId="77777777" w:rsidTr="00B45545">
        <w:trPr>
          <w:trHeight w:val="485"/>
        </w:trPr>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A7D54F3" w14:textId="3644317D" w:rsidR="00B45545" w:rsidRDefault="00B45545" w:rsidP="00B45545">
            <w:pPr>
              <w:pStyle w:val="TableRow"/>
              <w:rPr>
                <w:sz w:val="22"/>
                <w:szCs w:val="22"/>
              </w:rPr>
            </w:pPr>
            <w:r>
              <w:rPr>
                <w:sz w:val="22"/>
                <w:szCs w:val="22"/>
              </w:rPr>
              <w:t>3</w:t>
            </w:r>
          </w:p>
        </w:tc>
        <w:tc>
          <w:tcPr>
            <w:tcW w:w="87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A7D54F4" w14:textId="637648B1" w:rsidR="00B45545" w:rsidRPr="00BC4532" w:rsidRDefault="00B45545" w:rsidP="00B45545">
            <w:pPr>
              <w:pStyle w:val="TableRowCentered"/>
              <w:jc w:val="left"/>
              <w:rPr>
                <w:color w:val="000000" w:themeColor="text1"/>
                <w:sz w:val="22"/>
                <w:szCs w:val="22"/>
              </w:rPr>
            </w:pPr>
            <w:r>
              <w:rPr>
                <w:iCs/>
                <w:color w:val="000000" w:themeColor="text1"/>
                <w:sz w:val="22"/>
                <w:szCs w:val="22"/>
              </w:rPr>
              <w:t>Sustaining high quality teaching and learning, maintaining reduced class sizes</w:t>
            </w:r>
          </w:p>
        </w:tc>
      </w:tr>
      <w:tr w:rsidR="00B45545" w14:paraId="2352FC29" w14:textId="77777777" w:rsidTr="00B45545">
        <w:trPr>
          <w:trHeight w:val="485"/>
        </w:trPr>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9A71A00" w14:textId="712B6611" w:rsidR="00B45545" w:rsidRDefault="00B45545" w:rsidP="00B45545">
            <w:pPr>
              <w:pStyle w:val="TableRow"/>
              <w:rPr>
                <w:sz w:val="22"/>
                <w:szCs w:val="22"/>
              </w:rPr>
            </w:pPr>
            <w:r>
              <w:rPr>
                <w:sz w:val="22"/>
                <w:szCs w:val="22"/>
              </w:rPr>
              <w:t>4</w:t>
            </w:r>
          </w:p>
        </w:tc>
        <w:tc>
          <w:tcPr>
            <w:tcW w:w="87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A9D65B1" w14:textId="3BCF147D" w:rsidR="00B45545" w:rsidRPr="00BC4532" w:rsidRDefault="00B45545" w:rsidP="00B45545">
            <w:pPr>
              <w:pStyle w:val="TableRowCentered"/>
              <w:jc w:val="left"/>
              <w:rPr>
                <w:iCs/>
                <w:color w:val="000000" w:themeColor="text1"/>
                <w:sz w:val="22"/>
                <w:szCs w:val="22"/>
              </w:rPr>
            </w:pPr>
            <w:r w:rsidRPr="00BC4532">
              <w:rPr>
                <w:iCs/>
                <w:color w:val="000000" w:themeColor="text1"/>
                <w:sz w:val="22"/>
                <w:szCs w:val="22"/>
              </w:rPr>
              <w:t>Student and/or Parental reluctance to engage with the support offered</w:t>
            </w:r>
            <w:r w:rsidR="00BE3A26">
              <w:rPr>
                <w:iCs/>
                <w:color w:val="000000" w:themeColor="text1"/>
                <w:sz w:val="22"/>
                <w:szCs w:val="22"/>
              </w:rPr>
              <w:t xml:space="preserve"> and associated attendance issues.</w:t>
            </w:r>
          </w:p>
        </w:tc>
      </w:tr>
      <w:tr w:rsidR="00B45545" w14:paraId="2A7D54F8" w14:textId="77777777" w:rsidTr="00B45545">
        <w:trPr>
          <w:trHeight w:val="485"/>
        </w:trPr>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A7D54F6" w14:textId="28F79C54" w:rsidR="00B45545" w:rsidRDefault="00B45545" w:rsidP="00B45545">
            <w:pPr>
              <w:pStyle w:val="TableRow"/>
              <w:rPr>
                <w:sz w:val="22"/>
                <w:szCs w:val="22"/>
              </w:rPr>
            </w:pPr>
            <w:r>
              <w:rPr>
                <w:sz w:val="22"/>
                <w:szCs w:val="22"/>
              </w:rPr>
              <w:t>5</w:t>
            </w:r>
          </w:p>
        </w:tc>
        <w:tc>
          <w:tcPr>
            <w:tcW w:w="87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A7D54F7" w14:textId="756CCA50" w:rsidR="00B45545" w:rsidRPr="00BC4532" w:rsidRDefault="00B45545" w:rsidP="00B45545">
            <w:pPr>
              <w:pStyle w:val="TableRowCentered"/>
              <w:jc w:val="left"/>
              <w:rPr>
                <w:color w:val="000000" w:themeColor="text1"/>
                <w:sz w:val="22"/>
                <w:szCs w:val="22"/>
              </w:rPr>
            </w:pPr>
            <w:r w:rsidRPr="00BC4532">
              <w:rPr>
                <w:color w:val="000000" w:themeColor="text1"/>
                <w:sz w:val="22"/>
                <w:szCs w:val="22"/>
              </w:rPr>
              <w:t>Changes in home circumstances due to the Pandemic, leading to lack of engagement with home learning and/or disenfranchisement with school</w:t>
            </w:r>
            <w:r>
              <w:rPr>
                <w:color w:val="000000" w:themeColor="text1"/>
                <w:sz w:val="22"/>
                <w:szCs w:val="22"/>
              </w:rPr>
              <w:t xml:space="preserve"> or learning</w:t>
            </w:r>
          </w:p>
        </w:tc>
      </w:tr>
      <w:tr w:rsidR="00B45545" w14:paraId="2A7D54FB" w14:textId="77777777" w:rsidTr="00B45545">
        <w:trPr>
          <w:trHeight w:val="512"/>
        </w:trPr>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A7D54F9" w14:textId="3E35099F" w:rsidR="00B45545" w:rsidRDefault="00B45545" w:rsidP="00B45545">
            <w:pPr>
              <w:pStyle w:val="TableRow"/>
              <w:rPr>
                <w:sz w:val="22"/>
                <w:szCs w:val="22"/>
              </w:rPr>
            </w:pPr>
            <w:r>
              <w:rPr>
                <w:sz w:val="22"/>
                <w:szCs w:val="22"/>
              </w:rPr>
              <w:t>6</w:t>
            </w:r>
          </w:p>
        </w:tc>
        <w:tc>
          <w:tcPr>
            <w:tcW w:w="87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A7D54FA" w14:textId="699A5FDD" w:rsidR="00B45545" w:rsidRPr="00BC4532" w:rsidRDefault="00B45545" w:rsidP="00B45545">
            <w:pPr>
              <w:pStyle w:val="TableRowCentered"/>
              <w:jc w:val="left"/>
              <w:rPr>
                <w:iCs/>
                <w:color w:val="000000" w:themeColor="text1"/>
                <w:sz w:val="22"/>
                <w:szCs w:val="22"/>
              </w:rPr>
            </w:pPr>
            <w:r w:rsidRPr="00BC4532">
              <w:rPr>
                <w:color w:val="000000" w:themeColor="text1"/>
                <w:sz w:val="22"/>
                <w:szCs w:val="22"/>
              </w:rPr>
              <w:t>Mid-year admission;</w:t>
            </w:r>
            <w:r>
              <w:rPr>
                <w:color w:val="000000" w:themeColor="text1"/>
                <w:sz w:val="22"/>
                <w:szCs w:val="22"/>
              </w:rPr>
              <w:t xml:space="preserve"> between 5-8% mobility</w:t>
            </w:r>
            <w:r w:rsidRPr="00BC4532">
              <w:rPr>
                <w:color w:val="000000" w:themeColor="text1"/>
                <w:sz w:val="22"/>
                <w:szCs w:val="22"/>
              </w:rPr>
              <w:t xml:space="preserve"> </w:t>
            </w:r>
          </w:p>
        </w:tc>
      </w:tr>
      <w:tr w:rsidR="00B45545" w14:paraId="2A7D54FE" w14:textId="77777777" w:rsidTr="00B45545">
        <w:trPr>
          <w:trHeight w:val="437"/>
        </w:trPr>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A7D54FC" w14:textId="13BF0111" w:rsidR="00B45545" w:rsidRDefault="00B45545" w:rsidP="00B45545">
            <w:pPr>
              <w:pStyle w:val="TableRow"/>
              <w:rPr>
                <w:sz w:val="22"/>
                <w:szCs w:val="22"/>
              </w:rPr>
            </w:pPr>
            <w:r>
              <w:rPr>
                <w:sz w:val="22"/>
                <w:szCs w:val="22"/>
              </w:rPr>
              <w:t>7</w:t>
            </w:r>
          </w:p>
        </w:tc>
        <w:tc>
          <w:tcPr>
            <w:tcW w:w="87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A7D54FD" w14:textId="625C846A" w:rsidR="00B45545" w:rsidRPr="00BC4532" w:rsidRDefault="00B45545" w:rsidP="00B45545">
            <w:pPr>
              <w:pStyle w:val="TableRowCentered"/>
              <w:jc w:val="left"/>
              <w:rPr>
                <w:iCs/>
                <w:color w:val="000000" w:themeColor="text1"/>
                <w:sz w:val="22"/>
                <w:szCs w:val="22"/>
              </w:rPr>
            </w:pPr>
            <w:r w:rsidRPr="00952D13">
              <w:rPr>
                <w:color w:val="000000" w:themeColor="text1"/>
                <w:sz w:val="22"/>
                <w:szCs w:val="22"/>
              </w:rPr>
              <w:t>EAL - language acquisition for EAL students</w:t>
            </w:r>
          </w:p>
        </w:tc>
      </w:tr>
      <w:tr w:rsidR="00B45545" w14:paraId="1E83E52F" w14:textId="77777777" w:rsidTr="00B45545">
        <w:trPr>
          <w:trHeight w:val="415"/>
        </w:trPr>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FD0210C" w14:textId="219896A9" w:rsidR="00B45545" w:rsidRDefault="00B45545" w:rsidP="00B45545">
            <w:pPr>
              <w:pStyle w:val="TableRow"/>
              <w:rPr>
                <w:sz w:val="22"/>
                <w:szCs w:val="22"/>
              </w:rPr>
            </w:pPr>
            <w:r>
              <w:rPr>
                <w:sz w:val="22"/>
                <w:szCs w:val="22"/>
              </w:rPr>
              <w:t>8</w:t>
            </w:r>
          </w:p>
        </w:tc>
        <w:tc>
          <w:tcPr>
            <w:tcW w:w="87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E90A7D8" w14:textId="1250BC43" w:rsidR="00B45545" w:rsidRPr="00952D13" w:rsidRDefault="00B45545" w:rsidP="00B45545">
            <w:pPr>
              <w:pStyle w:val="TableRowCentered"/>
              <w:jc w:val="left"/>
              <w:rPr>
                <w:color w:val="000000" w:themeColor="text1"/>
                <w:sz w:val="22"/>
                <w:szCs w:val="22"/>
              </w:rPr>
            </w:pPr>
            <w:r w:rsidRPr="00952D13">
              <w:rPr>
                <w:color w:val="000000" w:themeColor="text1"/>
                <w:sz w:val="22"/>
                <w:szCs w:val="22"/>
              </w:rPr>
              <w:t>Low prior knowledge entry points evidencing significant knowledge gaps</w:t>
            </w:r>
          </w:p>
        </w:tc>
      </w:tr>
      <w:tr w:rsidR="00B45545" w14:paraId="41A41CB5" w14:textId="77777777" w:rsidTr="00B45545">
        <w:trPr>
          <w:trHeight w:val="421"/>
        </w:trPr>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91C3BDB" w14:textId="75D88EAF" w:rsidR="00B45545" w:rsidRDefault="00B45545" w:rsidP="00B45545">
            <w:pPr>
              <w:pStyle w:val="TableRow"/>
              <w:rPr>
                <w:sz w:val="22"/>
                <w:szCs w:val="22"/>
              </w:rPr>
            </w:pPr>
            <w:r>
              <w:rPr>
                <w:sz w:val="22"/>
                <w:szCs w:val="22"/>
              </w:rPr>
              <w:t>9</w:t>
            </w:r>
          </w:p>
        </w:tc>
        <w:tc>
          <w:tcPr>
            <w:tcW w:w="87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B30FE9A" w14:textId="3E532371" w:rsidR="00B45545" w:rsidRPr="00952D13" w:rsidRDefault="00B45545" w:rsidP="00B45545">
            <w:pPr>
              <w:pStyle w:val="TableRowCentered"/>
              <w:jc w:val="left"/>
              <w:rPr>
                <w:color w:val="000000" w:themeColor="text1"/>
                <w:sz w:val="22"/>
                <w:szCs w:val="22"/>
              </w:rPr>
            </w:pPr>
            <w:r w:rsidRPr="00952D13">
              <w:rPr>
                <w:sz w:val="22"/>
                <w:szCs w:val="22"/>
                <w:lang w:eastAsia="en-US"/>
              </w:rPr>
              <w:t>Transitions – e.g. Post-16 guidance (students whose parents have not attended higher education)</w:t>
            </w:r>
          </w:p>
        </w:tc>
      </w:tr>
      <w:tr w:rsidR="00B45545" w14:paraId="0E666A14" w14:textId="77777777" w:rsidTr="00B45545">
        <w:trPr>
          <w:trHeight w:val="675"/>
        </w:trPr>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FD0B5AB" w14:textId="6ADBFAD2" w:rsidR="00B45545" w:rsidRDefault="00B45545" w:rsidP="00B45545">
            <w:pPr>
              <w:pStyle w:val="TableRow"/>
              <w:rPr>
                <w:sz w:val="22"/>
                <w:szCs w:val="22"/>
              </w:rPr>
            </w:pPr>
            <w:r>
              <w:rPr>
                <w:sz w:val="22"/>
                <w:szCs w:val="22"/>
              </w:rPr>
              <w:t>10</w:t>
            </w:r>
          </w:p>
        </w:tc>
        <w:tc>
          <w:tcPr>
            <w:tcW w:w="87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4D65ACD" w14:textId="0BA8EC60" w:rsidR="00B45545" w:rsidRPr="00952D13" w:rsidRDefault="00B45545" w:rsidP="00B45545">
            <w:pPr>
              <w:spacing w:after="100" w:afterAutospacing="1"/>
              <w:rPr>
                <w:color w:val="C00000"/>
                <w:sz w:val="22"/>
                <w:szCs w:val="22"/>
              </w:rPr>
            </w:pPr>
            <w:r>
              <w:rPr>
                <w:color w:val="000000" w:themeColor="text1"/>
                <w:sz w:val="22"/>
                <w:szCs w:val="22"/>
              </w:rPr>
              <w:t>Impact of lockdown on Mental Health and Wellbeing</w:t>
            </w:r>
          </w:p>
        </w:tc>
      </w:tr>
    </w:tbl>
    <w:p w14:paraId="2A7D54FF" w14:textId="5DB407C9"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377" w:type="pct"/>
        <w:tblCellMar>
          <w:left w:w="10" w:type="dxa"/>
          <w:right w:w="10" w:type="dxa"/>
        </w:tblCellMar>
        <w:tblLook w:val="04A0" w:firstRow="1" w:lastRow="0" w:firstColumn="1" w:lastColumn="0" w:noHBand="0" w:noVBand="1"/>
      </w:tblPr>
      <w:tblGrid>
        <w:gridCol w:w="4815"/>
        <w:gridCol w:w="5386"/>
      </w:tblGrid>
      <w:tr w:rsidR="00E66558" w14:paraId="2A7D5503" w14:textId="77777777" w:rsidTr="00D20FDB">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D20FDB">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22D4C66" w:rsidR="00E66558" w:rsidRDefault="00F731A6">
            <w:pPr>
              <w:pStyle w:val="TableRow"/>
            </w:pPr>
            <w:r>
              <w:t>Improved mental health and well</w:t>
            </w:r>
            <w:r w:rsidR="00B3778D">
              <w:t>-</w:t>
            </w:r>
            <w:r>
              <w:t>being of learners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B2C8F6F" w:rsidR="00E66558" w:rsidRDefault="00F731A6" w:rsidP="00F731A6">
            <w:pPr>
              <w:pStyle w:val="TableRowCentered"/>
              <w:ind w:left="0"/>
              <w:jc w:val="left"/>
              <w:rPr>
                <w:sz w:val="22"/>
                <w:szCs w:val="22"/>
              </w:rPr>
            </w:pPr>
            <w:r>
              <w:rPr>
                <w:sz w:val="22"/>
                <w:szCs w:val="22"/>
              </w:rPr>
              <w:t>Students are more motivated to work well in school – improved effort grades</w:t>
            </w:r>
          </w:p>
        </w:tc>
      </w:tr>
      <w:tr w:rsidR="00E66558" w14:paraId="2A7D5509" w14:textId="77777777" w:rsidTr="00D20FDB">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13A889C" w:rsidR="00E66558" w:rsidRDefault="00F731A6">
            <w:pPr>
              <w:pStyle w:val="TableRow"/>
              <w:rPr>
                <w:sz w:val="22"/>
                <w:szCs w:val="22"/>
              </w:rPr>
            </w:pPr>
            <w:r>
              <w:rPr>
                <w:sz w:val="22"/>
                <w:szCs w:val="22"/>
              </w:rPr>
              <w:t>More resources</w:t>
            </w:r>
            <w:r w:rsidR="00431EF6">
              <w:rPr>
                <w:sz w:val="22"/>
                <w:szCs w:val="22"/>
              </w:rPr>
              <w:t xml:space="preserve"> and access</w:t>
            </w:r>
            <w:r>
              <w:rPr>
                <w:sz w:val="22"/>
                <w:szCs w:val="22"/>
              </w:rPr>
              <w:t xml:space="preserve"> provided for remote learning</w:t>
            </w:r>
            <w:r w:rsidR="00431EF6">
              <w:rPr>
                <w:sz w:val="22"/>
                <w:szCs w:val="22"/>
              </w:rPr>
              <w:t xml:space="preserve"> and other resource rich learning such as Music and Trips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D79D331" w:rsidR="00E66558" w:rsidRDefault="00F731A6">
            <w:pPr>
              <w:pStyle w:val="TableRowCentered"/>
              <w:jc w:val="left"/>
              <w:rPr>
                <w:sz w:val="22"/>
                <w:szCs w:val="22"/>
              </w:rPr>
            </w:pPr>
            <w:r>
              <w:rPr>
                <w:sz w:val="22"/>
                <w:szCs w:val="22"/>
              </w:rPr>
              <w:t>Successful engagement with remote learning when necessary</w:t>
            </w:r>
            <w:r w:rsidR="00431EF6">
              <w:rPr>
                <w:sz w:val="22"/>
                <w:szCs w:val="22"/>
              </w:rPr>
              <w:t>; successful opportunities taken up for resource rich learning such as music and educational visits</w:t>
            </w:r>
          </w:p>
        </w:tc>
      </w:tr>
      <w:tr w:rsidR="00E66558" w14:paraId="2A7D550C" w14:textId="77777777" w:rsidTr="00D20FDB">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16A0C19" w:rsidR="00E66558" w:rsidRDefault="00F731A6">
            <w:pPr>
              <w:pStyle w:val="TableRow"/>
              <w:rPr>
                <w:sz w:val="22"/>
                <w:szCs w:val="22"/>
              </w:rPr>
            </w:pPr>
            <w:r>
              <w:rPr>
                <w:sz w:val="22"/>
                <w:szCs w:val="22"/>
              </w:rPr>
              <w:t xml:space="preserve">Reduced class sizes and </w:t>
            </w:r>
            <w:proofErr w:type="gramStart"/>
            <w:r>
              <w:rPr>
                <w:sz w:val="22"/>
                <w:szCs w:val="22"/>
              </w:rPr>
              <w:t>high</w:t>
            </w:r>
            <w:r w:rsidR="00B3778D">
              <w:rPr>
                <w:sz w:val="22"/>
                <w:szCs w:val="22"/>
              </w:rPr>
              <w:t xml:space="preserve"> </w:t>
            </w:r>
            <w:r>
              <w:rPr>
                <w:sz w:val="22"/>
                <w:szCs w:val="22"/>
              </w:rPr>
              <w:t>quality</w:t>
            </w:r>
            <w:proofErr w:type="gramEnd"/>
            <w:r>
              <w:rPr>
                <w:sz w:val="22"/>
                <w:szCs w:val="22"/>
              </w:rPr>
              <w:t xml:space="preserve"> teaching</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4807688" w:rsidR="00E66558" w:rsidRDefault="00F731A6">
            <w:pPr>
              <w:pStyle w:val="TableRowCentered"/>
              <w:jc w:val="left"/>
              <w:rPr>
                <w:sz w:val="22"/>
                <w:szCs w:val="22"/>
              </w:rPr>
            </w:pPr>
            <w:r>
              <w:rPr>
                <w:sz w:val="22"/>
                <w:szCs w:val="22"/>
              </w:rPr>
              <w:t>Significantly improved learning experiences for students</w:t>
            </w:r>
          </w:p>
        </w:tc>
      </w:tr>
      <w:tr w:rsidR="00E66558" w14:paraId="2A7D550F" w14:textId="77777777" w:rsidTr="00D20FDB">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8721054" w:rsidR="00E66558" w:rsidRDefault="00D20FDB">
            <w:pPr>
              <w:pStyle w:val="TableRow"/>
              <w:rPr>
                <w:sz w:val="22"/>
                <w:szCs w:val="22"/>
              </w:rPr>
            </w:pPr>
            <w:r>
              <w:rPr>
                <w:sz w:val="22"/>
                <w:szCs w:val="22"/>
              </w:rPr>
              <w:lastRenderedPageBreak/>
              <w:t>Better transitions for Post 16</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E5919C1" w:rsidR="00E66558" w:rsidRDefault="00D20FDB">
            <w:pPr>
              <w:pStyle w:val="TableRowCentered"/>
              <w:jc w:val="left"/>
              <w:rPr>
                <w:sz w:val="22"/>
                <w:szCs w:val="22"/>
              </w:rPr>
            </w:pPr>
            <w:r>
              <w:rPr>
                <w:sz w:val="22"/>
                <w:szCs w:val="22"/>
              </w:rPr>
              <w:t>More disadvantaged students attending or securing places at University</w:t>
            </w:r>
          </w:p>
        </w:tc>
      </w:tr>
      <w:tr w:rsidR="00D20FDB" w14:paraId="303E0C4D" w14:textId="77777777" w:rsidTr="00D20FDB">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0206A" w14:textId="5690DA91" w:rsidR="00D20FDB" w:rsidRDefault="00D20FDB">
            <w:pPr>
              <w:pStyle w:val="TableRow"/>
              <w:rPr>
                <w:sz w:val="22"/>
                <w:szCs w:val="22"/>
              </w:rPr>
            </w:pPr>
            <w:r>
              <w:rPr>
                <w:sz w:val="22"/>
                <w:szCs w:val="22"/>
              </w:rPr>
              <w:t>Reduction in knowledge gaps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8735B" w14:textId="0B6A5847" w:rsidR="00D20FDB" w:rsidRDefault="00D20FDB" w:rsidP="00D20FDB">
            <w:pPr>
              <w:pStyle w:val="TableRowCentered"/>
              <w:ind w:left="0"/>
              <w:jc w:val="left"/>
              <w:rPr>
                <w:sz w:val="22"/>
                <w:szCs w:val="22"/>
              </w:rPr>
            </w:pPr>
            <w:r>
              <w:rPr>
                <w:sz w:val="22"/>
                <w:szCs w:val="22"/>
              </w:rPr>
              <w:t>A higher percentage of disadvantaged students achieve better grades – narrowing the gap</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B23F753" w:rsidR="00E66558" w:rsidRDefault="009D71E8">
      <w:r>
        <w:t xml:space="preserve">Budgeted cost: £ </w:t>
      </w:r>
      <w:r w:rsidR="00D948C7">
        <w:t>2</w:t>
      </w:r>
      <w:r w:rsidR="00BF134B">
        <w:t>66,924</w:t>
      </w:r>
    </w:p>
    <w:tbl>
      <w:tblPr>
        <w:tblW w:w="8251" w:type="pct"/>
        <w:tblCellMar>
          <w:left w:w="10" w:type="dxa"/>
          <w:right w:w="10" w:type="dxa"/>
        </w:tblCellMar>
        <w:tblLook w:val="04A0" w:firstRow="1" w:lastRow="0" w:firstColumn="1" w:lastColumn="0" w:noHBand="0" w:noVBand="1"/>
      </w:tblPr>
      <w:tblGrid>
        <w:gridCol w:w="2874"/>
        <w:gridCol w:w="4776"/>
        <w:gridCol w:w="2492"/>
        <w:gridCol w:w="2756"/>
        <w:gridCol w:w="2756"/>
      </w:tblGrid>
      <w:tr w:rsidR="00E66558" w14:paraId="2A7D5519" w14:textId="77777777" w:rsidTr="00F90F2C">
        <w:trPr>
          <w:gridAfter w:val="2"/>
          <w:wAfter w:w="5512" w:type="dxa"/>
          <w:trHeight w:val="904"/>
        </w:trPr>
        <w:tc>
          <w:tcPr>
            <w:tcW w:w="28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7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4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952D13" w14:paraId="2A7D5521" w14:textId="77777777" w:rsidTr="00F90F2C">
        <w:trPr>
          <w:gridAfter w:val="2"/>
          <w:wAfter w:w="5512" w:type="dxa"/>
          <w:trHeight w:val="1389"/>
        </w:trPr>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6A7CB8E" w:rsidR="00952D13" w:rsidRDefault="00952D13" w:rsidP="00952D13">
            <w:pPr>
              <w:pStyle w:val="TableRow"/>
              <w:rPr>
                <w:i/>
                <w:sz w:val="22"/>
              </w:rPr>
            </w:pPr>
            <w:r w:rsidRPr="00785502">
              <w:rPr>
                <w:sz w:val="22"/>
                <w:szCs w:val="22"/>
                <w:lang w:eastAsia="en-US"/>
              </w:rPr>
              <w:t>Teach First Programme - partial funding (50%), with the remainder of costs met by the school.</w:t>
            </w: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FF361" w14:textId="77777777" w:rsidR="00F90F2C" w:rsidRDefault="00F90F2C" w:rsidP="00952D13">
            <w:pPr>
              <w:pStyle w:val="TableRowCentered"/>
              <w:jc w:val="left"/>
              <w:rPr>
                <w:sz w:val="22"/>
                <w:szCs w:val="22"/>
                <w:lang w:eastAsia="en-US"/>
              </w:rPr>
            </w:pPr>
            <w:r>
              <w:rPr>
                <w:sz w:val="22"/>
                <w:szCs w:val="22"/>
              </w:rPr>
              <w:t>Teach First – High quality graduates to deliver high quality education</w:t>
            </w:r>
            <w:r w:rsidRPr="00785502">
              <w:rPr>
                <w:sz w:val="22"/>
                <w:szCs w:val="22"/>
                <w:lang w:eastAsia="en-US"/>
              </w:rPr>
              <w:t xml:space="preserve"> </w:t>
            </w:r>
          </w:p>
          <w:p w14:paraId="2A7D551F" w14:textId="349689AD" w:rsidR="00952D13" w:rsidRDefault="004D7BF7" w:rsidP="00F90F2C">
            <w:pPr>
              <w:pStyle w:val="TableRowCentered"/>
              <w:ind w:left="0"/>
              <w:jc w:val="left"/>
              <w:rPr>
                <w:sz w:val="22"/>
              </w:rPr>
            </w:pPr>
            <w:r w:rsidRPr="00785502">
              <w:rPr>
                <w:sz w:val="22"/>
                <w:szCs w:val="22"/>
                <w:lang w:eastAsia="en-US"/>
              </w:rPr>
              <w:t xml:space="preserve">Education Endowment Fund </w:t>
            </w:r>
            <w:r>
              <w:rPr>
                <w:sz w:val="22"/>
                <w:szCs w:val="22"/>
                <w:lang w:eastAsia="en-US"/>
              </w:rPr>
              <w:t>(E</w:t>
            </w:r>
            <w:r>
              <w:rPr>
                <w:sz w:val="22"/>
                <w:szCs w:val="22"/>
              </w:rPr>
              <w:t>EF)</w:t>
            </w:r>
            <w:r w:rsidR="00F90F2C">
              <w:rPr>
                <w:sz w:val="22"/>
                <w:szCs w:val="22"/>
              </w:rPr>
              <w:t xml:space="preserve">; </w:t>
            </w:r>
            <w:r>
              <w:rPr>
                <w:sz w:val="22"/>
                <w:szCs w:val="22"/>
              </w:rPr>
              <w:t>Teaching Schools Council (TSC)</w:t>
            </w:r>
            <w:r w:rsidR="00F90F2C">
              <w:rPr>
                <w:sz w:val="22"/>
                <w:szCs w:val="22"/>
              </w:rPr>
              <w:t xml:space="preserve">; </w:t>
            </w:r>
            <w:r>
              <w:rPr>
                <w:sz w:val="22"/>
                <w:szCs w:val="22"/>
              </w:rPr>
              <w:t>National College</w:t>
            </w:r>
            <w:r w:rsidR="00F90F2C">
              <w:rPr>
                <w:sz w:val="22"/>
                <w:szCs w:val="22"/>
              </w:rPr>
              <w:t xml:space="preserve"> for Teaching and Leadership; Sutton Trust</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3B020C1" w:rsidR="00952D13" w:rsidRDefault="00952D13" w:rsidP="00952D13">
            <w:pPr>
              <w:pStyle w:val="TableRowCentered"/>
              <w:jc w:val="left"/>
              <w:rPr>
                <w:sz w:val="22"/>
              </w:rPr>
            </w:pPr>
            <w:r>
              <w:rPr>
                <w:sz w:val="22"/>
                <w:szCs w:val="22"/>
              </w:rPr>
              <w:t>1</w:t>
            </w:r>
            <w:r w:rsidR="004D7BF7">
              <w:rPr>
                <w:sz w:val="22"/>
                <w:szCs w:val="22"/>
              </w:rPr>
              <w:t xml:space="preserve">, </w:t>
            </w:r>
            <w:r>
              <w:rPr>
                <w:sz w:val="22"/>
                <w:szCs w:val="22"/>
              </w:rPr>
              <w:t>3</w:t>
            </w:r>
          </w:p>
        </w:tc>
      </w:tr>
      <w:tr w:rsidR="004D7BF7" w14:paraId="5F293ADC" w14:textId="77777777" w:rsidTr="00F90F2C">
        <w:trPr>
          <w:gridAfter w:val="2"/>
          <w:wAfter w:w="5512" w:type="dxa"/>
          <w:trHeight w:val="603"/>
        </w:trPr>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A9F6D" w14:textId="48819504" w:rsidR="004D7BF7" w:rsidRDefault="004D7BF7" w:rsidP="001A58DB">
            <w:pPr>
              <w:pStyle w:val="TableRow"/>
            </w:pPr>
            <w:r w:rsidRPr="00F90F2C">
              <w:rPr>
                <w:sz w:val="22"/>
              </w:rPr>
              <w:t>Maths Mastery resources</w:t>
            </w: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2F941" w14:textId="61FC308E" w:rsidR="004D7BF7" w:rsidRDefault="00F90F2C" w:rsidP="00F90F2C">
            <w:pPr>
              <w:pStyle w:val="TableRowCentered"/>
              <w:ind w:left="0"/>
              <w:jc w:val="left"/>
              <w:rPr>
                <w:sz w:val="22"/>
              </w:rPr>
            </w:pPr>
            <w:r w:rsidRPr="00785502">
              <w:rPr>
                <w:sz w:val="22"/>
                <w:szCs w:val="22"/>
                <w:lang w:eastAsia="en-US"/>
              </w:rPr>
              <w:t xml:space="preserve">Education Endowment Fund </w:t>
            </w:r>
            <w:r>
              <w:rPr>
                <w:sz w:val="22"/>
                <w:szCs w:val="22"/>
                <w:lang w:eastAsia="en-US"/>
              </w:rPr>
              <w:t>(E</w:t>
            </w:r>
            <w:r>
              <w:rPr>
                <w:sz w:val="22"/>
                <w:szCs w:val="22"/>
              </w:rPr>
              <w:t>EF); Teaching Schools Council (TSC); National College for Teaching and Leadership; Sutton Trust</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11897" w14:textId="5531EE3D" w:rsidR="004D7BF7" w:rsidRDefault="004D7BF7" w:rsidP="001A58DB">
            <w:pPr>
              <w:pStyle w:val="TableRowCentered"/>
              <w:jc w:val="left"/>
              <w:rPr>
                <w:sz w:val="22"/>
              </w:rPr>
            </w:pPr>
            <w:r>
              <w:rPr>
                <w:sz w:val="22"/>
              </w:rPr>
              <w:t>1, 3</w:t>
            </w:r>
          </w:p>
        </w:tc>
      </w:tr>
      <w:tr w:rsidR="004D7BF7" w14:paraId="3CA65062" w14:textId="762F82F4" w:rsidTr="00BE3A26">
        <w:trPr>
          <w:trHeight w:val="900"/>
        </w:trPr>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EAB4C" w14:textId="68CEC082" w:rsidR="004D7BF7" w:rsidRDefault="00BE3A26" w:rsidP="004D7BF7">
            <w:pPr>
              <w:pStyle w:val="TableRow"/>
              <w:rPr>
                <w:i/>
                <w:sz w:val="22"/>
              </w:rPr>
            </w:pPr>
            <w:r>
              <w:rPr>
                <w:color w:val="000000" w:themeColor="text1"/>
                <w:sz w:val="22"/>
                <w:szCs w:val="22"/>
                <w:lang w:eastAsia="en-US"/>
              </w:rPr>
              <w:t>5</w:t>
            </w:r>
            <w:r w:rsidR="004D7BF7" w:rsidRPr="00952D13">
              <w:rPr>
                <w:color w:val="000000" w:themeColor="text1"/>
                <w:sz w:val="22"/>
                <w:szCs w:val="22"/>
                <w:lang w:eastAsia="en-US"/>
              </w:rPr>
              <w:t xml:space="preserve">0% </w:t>
            </w:r>
            <w:r w:rsidR="004D7BF7" w:rsidRPr="00785502">
              <w:rPr>
                <w:sz w:val="22"/>
                <w:szCs w:val="22"/>
                <w:lang w:eastAsia="en-US"/>
              </w:rPr>
              <w:t>Contribution towards EAL Staff.</w:t>
            </w: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E8402" w14:textId="6C6EEAB4" w:rsidR="004D7BF7" w:rsidRDefault="00F90F2C" w:rsidP="00F90F2C">
            <w:pPr>
              <w:pStyle w:val="TableRowCentered"/>
              <w:ind w:left="0"/>
              <w:jc w:val="left"/>
              <w:rPr>
                <w:sz w:val="22"/>
              </w:rPr>
            </w:pPr>
            <w:r>
              <w:rPr>
                <w:sz w:val="22"/>
                <w:szCs w:val="22"/>
                <w:lang w:eastAsia="en-US"/>
              </w:rPr>
              <w:t>Education Endowment Fund (E</w:t>
            </w:r>
            <w:r>
              <w:rPr>
                <w:sz w:val="22"/>
                <w:szCs w:val="22"/>
              </w:rPr>
              <w:t>EF); Teaching Schools Council (TSC); National College for Teaching and Leadership; Sutton Trust</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B353D" w14:textId="4E75D6B4" w:rsidR="004D7BF7" w:rsidRDefault="004D7BF7" w:rsidP="004D7BF7">
            <w:pPr>
              <w:pStyle w:val="TableRowCentered"/>
              <w:jc w:val="left"/>
              <w:rPr>
                <w:sz w:val="22"/>
              </w:rPr>
            </w:pPr>
            <w:r>
              <w:rPr>
                <w:sz w:val="22"/>
                <w:szCs w:val="22"/>
              </w:rPr>
              <w:t>1, 7</w:t>
            </w:r>
          </w:p>
        </w:tc>
        <w:tc>
          <w:tcPr>
            <w:tcW w:w="2756" w:type="dxa"/>
          </w:tcPr>
          <w:p w14:paraId="69ECD4A4" w14:textId="77777777" w:rsidR="004D7BF7" w:rsidRDefault="004D7BF7" w:rsidP="004D7BF7">
            <w:pPr>
              <w:suppressAutoHyphens w:val="0"/>
              <w:spacing w:after="0" w:line="240" w:lineRule="auto"/>
            </w:pPr>
          </w:p>
          <w:p w14:paraId="17BFB292" w14:textId="1E64EB86" w:rsidR="00BE3A26" w:rsidRDefault="00BE3A26" w:rsidP="004D7BF7">
            <w:pPr>
              <w:suppressAutoHyphens w:val="0"/>
              <w:spacing w:after="0" w:line="240" w:lineRule="auto"/>
            </w:pPr>
          </w:p>
        </w:tc>
        <w:tc>
          <w:tcPr>
            <w:tcW w:w="2756" w:type="dxa"/>
          </w:tcPr>
          <w:p w14:paraId="30323C1E" w14:textId="56B86833" w:rsidR="004D7BF7" w:rsidRDefault="004D7BF7" w:rsidP="004D7BF7">
            <w:pPr>
              <w:suppressAutoHyphens w:val="0"/>
              <w:spacing w:after="0" w:line="240" w:lineRule="auto"/>
            </w:pPr>
            <w:r w:rsidRPr="00785502">
              <w:rPr>
                <w:sz w:val="22"/>
                <w:szCs w:val="22"/>
                <w:lang w:eastAsia="en-US"/>
              </w:rPr>
              <w:t>Raised teaching standards linked to increased progress measures.</w:t>
            </w:r>
          </w:p>
        </w:tc>
      </w:tr>
      <w:tr w:rsidR="004D7BF7" w14:paraId="27390E91" w14:textId="77777777" w:rsidTr="00F90F2C">
        <w:trPr>
          <w:gridAfter w:val="2"/>
          <w:wAfter w:w="5512" w:type="dxa"/>
          <w:trHeight w:val="359"/>
        </w:trPr>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EB4D" w14:textId="690258AF" w:rsidR="004D7BF7" w:rsidRPr="00BE3A26" w:rsidRDefault="00BE3A26" w:rsidP="004D7BF7">
            <w:pPr>
              <w:pStyle w:val="TableRow"/>
              <w:rPr>
                <w:sz w:val="22"/>
              </w:rPr>
            </w:pPr>
            <w:r>
              <w:rPr>
                <w:sz w:val="22"/>
              </w:rPr>
              <w:t>100% Contribution to music lessons – GCSE Music</w:t>
            </w: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EA4D" w14:textId="0FFFDD9F" w:rsidR="004D7BF7" w:rsidRDefault="00BE3A26" w:rsidP="00BE3A26">
            <w:pPr>
              <w:pStyle w:val="TableRowCentered"/>
              <w:ind w:left="0"/>
              <w:jc w:val="left"/>
              <w:rPr>
                <w:sz w:val="22"/>
              </w:rPr>
            </w:pPr>
            <w:r>
              <w:rPr>
                <w:sz w:val="22"/>
                <w:szCs w:val="22"/>
                <w:lang w:eastAsia="en-US"/>
              </w:rPr>
              <w:t>Education Endowment Fund (E</w:t>
            </w:r>
            <w:r>
              <w:rPr>
                <w:sz w:val="22"/>
                <w:szCs w:val="22"/>
              </w:rPr>
              <w:t xml:space="preserve">EF); Teaching Schools Council (TSC); </w:t>
            </w:r>
            <w:r>
              <w:rPr>
                <w:sz w:val="22"/>
              </w:rPr>
              <w:t>To support equal opportunities</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5314" w14:textId="15CE358E" w:rsidR="004D7BF7" w:rsidRDefault="00BE3A26" w:rsidP="004D7BF7">
            <w:pPr>
              <w:pStyle w:val="TableRowCentered"/>
              <w:jc w:val="left"/>
              <w:rPr>
                <w:sz w:val="22"/>
              </w:rPr>
            </w:pPr>
            <w:r>
              <w:rPr>
                <w:sz w:val="22"/>
              </w:rPr>
              <w:t xml:space="preserve">2, 3, 5, </w:t>
            </w:r>
          </w:p>
        </w:tc>
      </w:tr>
      <w:tr w:rsidR="00BE3A26" w14:paraId="6BFED4E7" w14:textId="77777777" w:rsidTr="00F90F2C">
        <w:trPr>
          <w:gridAfter w:val="2"/>
          <w:wAfter w:w="5512" w:type="dxa"/>
          <w:trHeight w:val="359"/>
        </w:trPr>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846C9" w14:textId="3993BDCE" w:rsidR="00BE3A26" w:rsidRPr="00F90F2C" w:rsidRDefault="00BE3A26" w:rsidP="00BE3A26">
            <w:pPr>
              <w:pStyle w:val="TableRow"/>
              <w:rPr>
                <w:sz w:val="22"/>
              </w:rPr>
            </w:pPr>
            <w:r w:rsidRPr="00F90F2C">
              <w:rPr>
                <w:sz w:val="22"/>
              </w:rPr>
              <w:t>Additional staff in Maths, Science, RE, Social Sciences, Computing</w:t>
            </w: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074E0" w14:textId="5F46012D" w:rsidR="00BE3A26" w:rsidRPr="00785502" w:rsidRDefault="00BE3A26" w:rsidP="00BE3A26">
            <w:pPr>
              <w:pStyle w:val="TableRowCentered"/>
              <w:ind w:left="0"/>
              <w:jc w:val="left"/>
              <w:rPr>
                <w:sz w:val="22"/>
                <w:szCs w:val="22"/>
                <w:lang w:eastAsia="en-US"/>
              </w:rPr>
            </w:pPr>
            <w:r w:rsidRPr="00785502">
              <w:rPr>
                <w:sz w:val="22"/>
                <w:szCs w:val="22"/>
                <w:lang w:eastAsia="en-US"/>
              </w:rPr>
              <w:t xml:space="preserve">Education Endowment Fund </w:t>
            </w:r>
            <w:r>
              <w:rPr>
                <w:sz w:val="22"/>
                <w:szCs w:val="22"/>
                <w:lang w:eastAsia="en-US"/>
              </w:rPr>
              <w:t>(E</w:t>
            </w:r>
            <w:r>
              <w:rPr>
                <w:sz w:val="22"/>
                <w:szCs w:val="22"/>
              </w:rPr>
              <w:t>EF); Teaching Schools Council (TSC)</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5F8F" w14:textId="1BA808AC" w:rsidR="00BE3A26" w:rsidRDefault="00BE3A26" w:rsidP="00BE3A26">
            <w:pPr>
              <w:pStyle w:val="TableRowCentered"/>
              <w:jc w:val="left"/>
              <w:rPr>
                <w:sz w:val="22"/>
              </w:rPr>
            </w:pPr>
            <w:r>
              <w:rPr>
                <w:sz w:val="22"/>
              </w:rPr>
              <w:t>1, 3</w:t>
            </w:r>
          </w:p>
        </w:tc>
      </w:tr>
      <w:tr w:rsidR="00BE3A26" w14:paraId="0ACB5B44" w14:textId="77777777" w:rsidTr="00F90F2C">
        <w:trPr>
          <w:gridAfter w:val="2"/>
          <w:wAfter w:w="5512" w:type="dxa"/>
          <w:trHeight w:val="359"/>
        </w:trPr>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B31" w14:textId="3ACC036D" w:rsidR="00BE3A26" w:rsidRPr="00F90F2C" w:rsidRDefault="00BE3A26" w:rsidP="00BE3A26">
            <w:pPr>
              <w:pStyle w:val="TableRow"/>
              <w:rPr>
                <w:sz w:val="22"/>
              </w:rPr>
            </w:pPr>
            <w:r>
              <w:rPr>
                <w:sz w:val="22"/>
                <w:szCs w:val="22"/>
                <w:lang w:eastAsia="en-US"/>
              </w:rPr>
              <w:t>Raising Attainment Programme</w:t>
            </w: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343B" w14:textId="77777777" w:rsidR="00BE3A26" w:rsidRDefault="00BE3A26" w:rsidP="00BE3A26">
            <w:pPr>
              <w:pStyle w:val="TableRowCentered"/>
              <w:jc w:val="left"/>
              <w:rPr>
                <w:sz w:val="22"/>
                <w:szCs w:val="22"/>
              </w:rPr>
            </w:pPr>
            <w:r>
              <w:rPr>
                <w:sz w:val="22"/>
                <w:szCs w:val="22"/>
              </w:rPr>
              <w:t>Narrowing the Gap</w:t>
            </w:r>
          </w:p>
          <w:p w14:paraId="55F89A0C" w14:textId="4C5C87C9" w:rsidR="00BE3A26" w:rsidRPr="00785502" w:rsidRDefault="00BE3A26" w:rsidP="00BE3A26">
            <w:pPr>
              <w:pStyle w:val="TableRowCentered"/>
              <w:ind w:left="0"/>
              <w:jc w:val="left"/>
              <w:rPr>
                <w:sz w:val="22"/>
                <w:szCs w:val="22"/>
                <w:lang w:eastAsia="en-US"/>
              </w:rPr>
            </w:pPr>
            <w:r>
              <w:rPr>
                <w:sz w:val="22"/>
                <w:szCs w:val="22"/>
              </w:rPr>
              <w:t>Sutton Trust</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A90A2" w14:textId="017E0B5D" w:rsidR="00BE3A26" w:rsidRDefault="00BE3A26" w:rsidP="00BE3A26">
            <w:pPr>
              <w:pStyle w:val="TableRowCentered"/>
              <w:jc w:val="left"/>
              <w:rPr>
                <w:sz w:val="22"/>
              </w:rPr>
            </w:pPr>
            <w:r>
              <w:rPr>
                <w:sz w:val="22"/>
                <w:szCs w:val="22"/>
              </w:rPr>
              <w:t>1, 6, 8</w:t>
            </w:r>
          </w:p>
        </w:tc>
      </w:tr>
      <w:tr w:rsidR="00BE3A26" w14:paraId="11899CE0" w14:textId="77777777" w:rsidTr="00F90F2C">
        <w:trPr>
          <w:gridAfter w:val="2"/>
          <w:wAfter w:w="5512" w:type="dxa"/>
          <w:trHeight w:val="359"/>
        </w:trPr>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AA009" w14:textId="6019FB9B" w:rsidR="00BE3A26" w:rsidRPr="00F90F2C" w:rsidRDefault="00BE3A26" w:rsidP="00BE3A26">
            <w:pPr>
              <w:pStyle w:val="TableRow"/>
              <w:rPr>
                <w:i/>
                <w:sz w:val="22"/>
              </w:rPr>
            </w:pPr>
            <w:r w:rsidRPr="00F90F2C">
              <w:rPr>
                <w:sz w:val="22"/>
              </w:rPr>
              <w:t>Creation of additional classes in years 9 &amp; 11</w:t>
            </w: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A32E5" w14:textId="3C843F3F" w:rsidR="00BE3A26" w:rsidRDefault="00BE3A26" w:rsidP="00BE3A26">
            <w:pPr>
              <w:pStyle w:val="TableRowCentered"/>
              <w:ind w:left="0"/>
              <w:jc w:val="left"/>
              <w:rPr>
                <w:sz w:val="22"/>
              </w:rPr>
            </w:pPr>
            <w:r w:rsidRPr="00785502">
              <w:rPr>
                <w:sz w:val="22"/>
                <w:szCs w:val="22"/>
                <w:lang w:eastAsia="en-US"/>
              </w:rPr>
              <w:t xml:space="preserve">Education Endowment Fund </w:t>
            </w:r>
            <w:r>
              <w:rPr>
                <w:sz w:val="22"/>
                <w:szCs w:val="22"/>
                <w:lang w:eastAsia="en-US"/>
              </w:rPr>
              <w:t>(E</w:t>
            </w:r>
            <w:r>
              <w:rPr>
                <w:sz w:val="22"/>
                <w:szCs w:val="22"/>
              </w:rPr>
              <w:t>EF); Teaching Schools Council (TSC)</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2275" w14:textId="1F70D6DC" w:rsidR="00BE3A26" w:rsidRDefault="00BE3A26" w:rsidP="00BE3A26">
            <w:pPr>
              <w:pStyle w:val="TableRowCentered"/>
              <w:jc w:val="left"/>
              <w:rPr>
                <w:sz w:val="22"/>
              </w:rPr>
            </w:pPr>
            <w:r>
              <w:rPr>
                <w:sz w:val="22"/>
              </w:rPr>
              <w:t>1, 3, 6, 8</w:t>
            </w:r>
          </w:p>
        </w:tc>
      </w:tr>
      <w:tr w:rsidR="00BE3A26" w14:paraId="54C11EFC" w14:textId="77777777" w:rsidTr="00F90F2C">
        <w:trPr>
          <w:gridAfter w:val="2"/>
          <w:wAfter w:w="5512" w:type="dxa"/>
          <w:trHeight w:val="359"/>
        </w:trPr>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A300" w14:textId="49AA2853" w:rsidR="00BE3A26" w:rsidRPr="00F90F2C" w:rsidRDefault="00BE3A26" w:rsidP="00BE3A26">
            <w:pPr>
              <w:pStyle w:val="TableRow"/>
              <w:rPr>
                <w:i/>
                <w:sz w:val="22"/>
              </w:rPr>
            </w:pPr>
            <w:r w:rsidRPr="00F90F2C">
              <w:rPr>
                <w:sz w:val="22"/>
              </w:rPr>
              <w:t>Additional Learning Support Assistants employed</w:t>
            </w:r>
          </w:p>
        </w:tc>
        <w:tc>
          <w:tcPr>
            <w:tcW w:w="4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4018D" w14:textId="59BC710A" w:rsidR="00BE3A26" w:rsidRDefault="00BE3A26" w:rsidP="00BE3A26">
            <w:pPr>
              <w:pStyle w:val="TableRowCentered"/>
              <w:ind w:left="0"/>
              <w:jc w:val="left"/>
              <w:rPr>
                <w:sz w:val="22"/>
              </w:rPr>
            </w:pPr>
            <w:r w:rsidRPr="00785502">
              <w:rPr>
                <w:sz w:val="22"/>
                <w:szCs w:val="22"/>
                <w:lang w:eastAsia="en-US"/>
              </w:rPr>
              <w:t xml:space="preserve">Education Endowment Fund </w:t>
            </w:r>
            <w:r>
              <w:rPr>
                <w:sz w:val="22"/>
                <w:szCs w:val="22"/>
                <w:lang w:eastAsia="en-US"/>
              </w:rPr>
              <w:t>(E</w:t>
            </w:r>
            <w:r>
              <w:rPr>
                <w:sz w:val="22"/>
                <w:szCs w:val="22"/>
              </w:rPr>
              <w:t>EF); Teaching Schools Council (TSC)</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7429" w14:textId="6B7A0AE7" w:rsidR="00BE3A26" w:rsidRDefault="00BE3A26" w:rsidP="00BE3A26">
            <w:pPr>
              <w:pStyle w:val="TableRowCentered"/>
              <w:jc w:val="left"/>
              <w:rPr>
                <w:sz w:val="22"/>
              </w:rPr>
            </w:pPr>
            <w:r>
              <w:rPr>
                <w:sz w:val="22"/>
              </w:rPr>
              <w:t>1, 3, 6, 8</w:t>
            </w:r>
          </w:p>
        </w:tc>
      </w:tr>
    </w:tbl>
    <w:p w14:paraId="2A7D5522" w14:textId="4D7DE682" w:rsidR="00E66558" w:rsidRDefault="00E66558">
      <w:pPr>
        <w:keepNext/>
        <w:spacing w:after="60"/>
        <w:outlineLvl w:val="1"/>
      </w:pPr>
    </w:p>
    <w:p w14:paraId="7200DD4B" w14:textId="7206D826" w:rsidR="00DF740F" w:rsidRDefault="00DF740F">
      <w:pPr>
        <w:keepNext/>
        <w:spacing w:after="60"/>
        <w:outlineLvl w:val="1"/>
      </w:pPr>
      <w:r>
        <w:br/>
      </w:r>
      <w:r>
        <w:br/>
      </w:r>
    </w:p>
    <w:p w14:paraId="51016654" w14:textId="0B9F1063" w:rsidR="00C37770" w:rsidRDefault="00DF740F" w:rsidP="00DF740F">
      <w:pPr>
        <w:keepNext/>
        <w:spacing w:after="60"/>
        <w:outlineLvl w:val="1"/>
        <w:rPr>
          <w:b/>
          <w:bCs/>
          <w:color w:val="104F75"/>
          <w:sz w:val="28"/>
          <w:szCs w:val="28"/>
        </w:rPr>
      </w:pPr>
      <w:r>
        <w:br w:type="column"/>
      </w:r>
      <w:r w:rsidR="009D71E8">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sidR="009D71E8">
        <w:rPr>
          <w:b/>
          <w:bCs/>
          <w:color w:val="104F75"/>
          <w:sz w:val="28"/>
          <w:szCs w:val="28"/>
        </w:rPr>
        <w:t xml:space="preserve">structured interventions) </w:t>
      </w:r>
    </w:p>
    <w:p w14:paraId="2A7D5524" w14:textId="5BB0CFB9" w:rsidR="00E66558" w:rsidRDefault="009D71E8">
      <w:r>
        <w:t xml:space="preserve">Budgeted cost: £ </w:t>
      </w:r>
      <w:r w:rsidR="00B15F8B">
        <w:t>113,360</w:t>
      </w:r>
    </w:p>
    <w:tbl>
      <w:tblPr>
        <w:tblW w:w="5331" w:type="pct"/>
        <w:tblCellMar>
          <w:left w:w="10" w:type="dxa"/>
          <w:right w:w="10" w:type="dxa"/>
        </w:tblCellMar>
        <w:tblLook w:val="04A0" w:firstRow="1" w:lastRow="0" w:firstColumn="1" w:lastColumn="0" w:noHBand="0" w:noVBand="1"/>
      </w:tblPr>
      <w:tblGrid>
        <w:gridCol w:w="2830"/>
        <w:gridCol w:w="4820"/>
        <w:gridCol w:w="2464"/>
      </w:tblGrid>
      <w:tr w:rsidR="00E66558" w14:paraId="2A7D5528" w14:textId="77777777" w:rsidTr="00F90F2C">
        <w:trPr>
          <w:trHeight w:val="946"/>
        </w:trPr>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4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20C27" w14:paraId="2A7D552C" w14:textId="77777777" w:rsidTr="00F90F2C">
        <w:trPr>
          <w:trHeight w:val="39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4B5D7BA" w:rsidR="00020C27" w:rsidRPr="00903122" w:rsidRDefault="004D7BF7" w:rsidP="00020C27">
            <w:pPr>
              <w:pStyle w:val="TableRow"/>
              <w:rPr>
                <w:sz w:val="22"/>
                <w:szCs w:val="22"/>
              </w:rPr>
            </w:pPr>
            <w:r w:rsidRPr="00903122">
              <w:rPr>
                <w:sz w:val="22"/>
                <w:szCs w:val="22"/>
              </w:rPr>
              <w:t xml:space="preserve">Ruth </w:t>
            </w:r>
            <w:proofErr w:type="spellStart"/>
            <w:r w:rsidRPr="00903122">
              <w:rPr>
                <w:sz w:val="22"/>
                <w:szCs w:val="22"/>
              </w:rPr>
              <w:t>Miskin</w:t>
            </w:r>
            <w:proofErr w:type="spellEnd"/>
            <w:r w:rsidRPr="00903122">
              <w:rPr>
                <w:sz w:val="22"/>
                <w:szCs w:val="22"/>
              </w:rPr>
              <w:t xml:space="preserve"> Literacy Initiative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BAE036C" w:rsidR="00020C27" w:rsidRDefault="00F90F2C" w:rsidP="00F90F2C">
            <w:pPr>
              <w:pStyle w:val="TableRowCentered"/>
              <w:ind w:left="0"/>
              <w:jc w:val="left"/>
              <w:rPr>
                <w:sz w:val="22"/>
              </w:rPr>
            </w:pPr>
            <w:r>
              <w:rPr>
                <w:sz w:val="22"/>
                <w:szCs w:val="22"/>
                <w:lang w:eastAsia="en-US"/>
              </w:rPr>
              <w:t>Education Endowment Fund (E</w:t>
            </w:r>
            <w:r>
              <w:rPr>
                <w:sz w:val="22"/>
                <w:szCs w:val="22"/>
              </w:rPr>
              <w:t>EF); Teaching Schools Council (TSC); National College for Teaching and Leadership; Sutton Trust</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68E2DFD" w:rsidR="00020C27" w:rsidRDefault="00903122" w:rsidP="00020C27">
            <w:pPr>
              <w:pStyle w:val="TableRowCentered"/>
              <w:jc w:val="left"/>
              <w:rPr>
                <w:sz w:val="22"/>
              </w:rPr>
            </w:pPr>
            <w:r>
              <w:rPr>
                <w:sz w:val="22"/>
              </w:rPr>
              <w:t>3, 6, 7, 8</w:t>
            </w:r>
          </w:p>
        </w:tc>
      </w:tr>
      <w:tr w:rsidR="00D20FDB" w14:paraId="04202D40" w14:textId="77777777" w:rsidTr="00F90F2C">
        <w:trPr>
          <w:trHeight w:val="39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34653" w14:textId="38C1B4ED" w:rsidR="00D20FDB" w:rsidRPr="00903122" w:rsidRDefault="004D7BF7" w:rsidP="00020C27">
            <w:pPr>
              <w:pStyle w:val="TableRow"/>
              <w:rPr>
                <w:sz w:val="22"/>
                <w:szCs w:val="22"/>
              </w:rPr>
            </w:pPr>
            <w:r w:rsidRPr="00903122">
              <w:rPr>
                <w:sz w:val="22"/>
                <w:szCs w:val="22"/>
              </w:rPr>
              <w:t>Elective withdrawal staffing and resources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DDFC7" w14:textId="27202AC9" w:rsidR="00D20FDB" w:rsidRDefault="00903122" w:rsidP="00020C27">
            <w:pPr>
              <w:pStyle w:val="TableRowCentered"/>
              <w:jc w:val="left"/>
              <w:rPr>
                <w:sz w:val="22"/>
              </w:rPr>
            </w:pPr>
            <w:r>
              <w:rPr>
                <w:sz w:val="22"/>
                <w:szCs w:val="22"/>
                <w:lang w:eastAsia="en-US"/>
              </w:rPr>
              <w:t>Education Endowment Fund (E</w:t>
            </w:r>
            <w:r>
              <w:rPr>
                <w:sz w:val="22"/>
                <w:szCs w:val="22"/>
              </w:rPr>
              <w:t>EF); Teaching Schools Council (TSC); National College for Teaching and Leadership; Sutton Trust</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EB845" w14:textId="3F20D6FF" w:rsidR="00D20FDB" w:rsidRDefault="00903122" w:rsidP="00020C27">
            <w:pPr>
              <w:pStyle w:val="TableRowCentered"/>
              <w:jc w:val="left"/>
              <w:rPr>
                <w:sz w:val="22"/>
              </w:rPr>
            </w:pPr>
            <w:r>
              <w:rPr>
                <w:sz w:val="22"/>
              </w:rPr>
              <w:t>1, 3, 5</w:t>
            </w:r>
          </w:p>
        </w:tc>
      </w:tr>
      <w:tr w:rsidR="004D7BF7" w14:paraId="64031C24" w14:textId="77777777" w:rsidTr="00F90F2C">
        <w:trPr>
          <w:trHeight w:val="39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211" w14:textId="59F583F3" w:rsidR="004D7BF7" w:rsidRPr="00903122" w:rsidRDefault="004D7BF7" w:rsidP="004D7BF7">
            <w:pPr>
              <w:pStyle w:val="TableRow"/>
              <w:rPr>
                <w:sz w:val="22"/>
                <w:szCs w:val="22"/>
              </w:rPr>
            </w:pPr>
            <w:r w:rsidRPr="00903122">
              <w:rPr>
                <w:sz w:val="22"/>
                <w:szCs w:val="22"/>
                <w:lang w:eastAsia="en-US"/>
              </w:rPr>
              <w:t>Satellite School</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B5569" w14:textId="6A3520FA" w:rsidR="004D7BF7" w:rsidRDefault="00903122" w:rsidP="004D7BF7">
            <w:pPr>
              <w:pStyle w:val="TableRowCentered"/>
              <w:jc w:val="left"/>
              <w:rPr>
                <w:sz w:val="22"/>
              </w:rPr>
            </w:pPr>
            <w:r>
              <w:rPr>
                <w:sz w:val="22"/>
                <w:szCs w:val="22"/>
                <w:lang w:eastAsia="en-US"/>
              </w:rPr>
              <w:t>Education Endowment Fund (E</w:t>
            </w:r>
            <w:r>
              <w:rPr>
                <w:sz w:val="22"/>
                <w:szCs w:val="22"/>
              </w:rPr>
              <w:t>EF); Teaching Schools Council (TSC); National College for Teaching and Leadership; Sutton Trust</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71D0" w14:textId="28A4A5CB" w:rsidR="004D7BF7" w:rsidRDefault="00903122" w:rsidP="004D7BF7">
            <w:pPr>
              <w:pStyle w:val="TableRowCentered"/>
              <w:jc w:val="left"/>
              <w:rPr>
                <w:sz w:val="22"/>
              </w:rPr>
            </w:pPr>
            <w:r>
              <w:rPr>
                <w:sz w:val="22"/>
              </w:rPr>
              <w:t>4, 5</w:t>
            </w:r>
          </w:p>
        </w:tc>
      </w:tr>
      <w:tr w:rsidR="004D7BF7" w14:paraId="515448DC" w14:textId="77777777" w:rsidTr="00F90F2C">
        <w:trPr>
          <w:trHeight w:val="39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23C3" w14:textId="3AD3F7BD" w:rsidR="004D7BF7" w:rsidRPr="00903122" w:rsidRDefault="004D7BF7" w:rsidP="004D7BF7">
            <w:pPr>
              <w:pStyle w:val="TableRow"/>
              <w:rPr>
                <w:sz w:val="22"/>
                <w:szCs w:val="22"/>
              </w:rPr>
            </w:pPr>
            <w:r w:rsidRPr="00903122">
              <w:rPr>
                <w:bCs/>
                <w:sz w:val="22"/>
                <w:szCs w:val="22"/>
                <w:lang w:eastAsia="en-US"/>
              </w:rPr>
              <w:t>Ascension School – Initial EAL Learners.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79C33" w14:textId="7F0D684B" w:rsidR="004D7BF7" w:rsidRDefault="00903122" w:rsidP="004D7BF7">
            <w:pPr>
              <w:pStyle w:val="TableRowCentered"/>
              <w:jc w:val="left"/>
              <w:rPr>
                <w:sz w:val="22"/>
              </w:rPr>
            </w:pPr>
            <w:r>
              <w:rPr>
                <w:sz w:val="22"/>
                <w:szCs w:val="22"/>
                <w:lang w:eastAsia="en-US"/>
              </w:rPr>
              <w:t>Education Endowment Fund (E</w:t>
            </w:r>
            <w:r>
              <w:rPr>
                <w:sz w:val="22"/>
                <w:szCs w:val="22"/>
              </w:rPr>
              <w:t>EF); Teaching Schools Council (TSC); National College for Teaching and Leadership; Sutton Trust</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01863" w14:textId="2F2F603B" w:rsidR="004D7BF7" w:rsidRDefault="00903122" w:rsidP="004D7BF7">
            <w:pPr>
              <w:pStyle w:val="TableRowCentered"/>
              <w:jc w:val="left"/>
              <w:rPr>
                <w:sz w:val="22"/>
              </w:rPr>
            </w:pPr>
            <w:r>
              <w:rPr>
                <w:sz w:val="22"/>
              </w:rPr>
              <w:t>6, 7, 8</w:t>
            </w:r>
          </w:p>
        </w:tc>
      </w:tr>
      <w:tr w:rsidR="005A7163" w14:paraId="75043366" w14:textId="77777777" w:rsidTr="00F90F2C">
        <w:trPr>
          <w:trHeight w:val="39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BCA0A" w14:textId="19A7E38E" w:rsidR="005A7163" w:rsidRPr="00903122" w:rsidRDefault="005A7163" w:rsidP="004D7BF7">
            <w:pPr>
              <w:pStyle w:val="TableRow"/>
              <w:rPr>
                <w:bCs/>
                <w:sz w:val="22"/>
                <w:szCs w:val="22"/>
                <w:lang w:eastAsia="en-US"/>
              </w:rPr>
            </w:pPr>
            <w:r>
              <w:rPr>
                <w:bCs/>
                <w:sz w:val="22"/>
                <w:szCs w:val="22"/>
                <w:lang w:eastAsia="en-US"/>
              </w:rPr>
              <w:t>Purchase of laptops for disadvantaged students in order to access online learning opportunities.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2B241" w14:textId="31B81BEA" w:rsidR="005A7163" w:rsidRDefault="005A7163" w:rsidP="004D7BF7">
            <w:pPr>
              <w:pStyle w:val="TableRowCentered"/>
              <w:jc w:val="left"/>
              <w:rPr>
                <w:sz w:val="22"/>
                <w:szCs w:val="22"/>
                <w:lang w:eastAsia="en-US"/>
              </w:rPr>
            </w:pPr>
            <w:proofErr w:type="spellStart"/>
            <w:r>
              <w:rPr>
                <w:sz w:val="22"/>
                <w:szCs w:val="22"/>
                <w:lang w:eastAsia="en-US"/>
              </w:rPr>
              <w:t>Covid</w:t>
            </w:r>
            <w:proofErr w:type="spellEnd"/>
            <w:r>
              <w:rPr>
                <w:sz w:val="22"/>
                <w:szCs w:val="22"/>
                <w:lang w:eastAsia="en-US"/>
              </w:rPr>
              <w:t xml:space="preserve"> Catch-up and online learning which is now compulsory. Students need access if they are to stay home as a result of positive tests or in fact a lockdown.</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5289" w14:textId="4474444F" w:rsidR="005A7163" w:rsidRDefault="005A7163" w:rsidP="004D7BF7">
            <w:pPr>
              <w:pStyle w:val="TableRowCentered"/>
              <w:jc w:val="left"/>
              <w:rPr>
                <w:sz w:val="22"/>
              </w:rPr>
            </w:pPr>
            <w:r>
              <w:rPr>
                <w:sz w:val="22"/>
              </w:rPr>
              <w:t>1,2,3,5</w:t>
            </w:r>
          </w:p>
        </w:tc>
      </w:tr>
    </w:tbl>
    <w:p w14:paraId="0BC87C7A" w14:textId="7D6F957E" w:rsidR="00DF740F" w:rsidRDefault="00DF740F">
      <w:pPr>
        <w:rPr>
          <w:b/>
          <w:color w:val="104F75"/>
          <w:sz w:val="28"/>
          <w:szCs w:val="28"/>
        </w:rPr>
      </w:pPr>
    </w:p>
    <w:p w14:paraId="2A7D5532" w14:textId="3CC6FF4E" w:rsidR="00E66558" w:rsidRDefault="00DF740F">
      <w:pPr>
        <w:rPr>
          <w:b/>
          <w:color w:val="104F75"/>
          <w:sz w:val="28"/>
          <w:szCs w:val="28"/>
        </w:rPr>
      </w:pPr>
      <w:r>
        <w:rPr>
          <w:b/>
          <w:color w:val="104F75"/>
          <w:sz w:val="28"/>
          <w:szCs w:val="28"/>
        </w:rPr>
        <w:br w:type="column"/>
      </w:r>
      <w:r w:rsidR="009D71E8">
        <w:rPr>
          <w:b/>
          <w:color w:val="104F75"/>
          <w:sz w:val="28"/>
          <w:szCs w:val="28"/>
        </w:rPr>
        <w:lastRenderedPageBreak/>
        <w:t>Wider strategies (for example, related to attendance, behaviour, wellbeing)</w:t>
      </w:r>
    </w:p>
    <w:p w14:paraId="2A7D5533" w14:textId="619F1E8A" w:rsidR="00E66558" w:rsidRDefault="009D71E8">
      <w:pPr>
        <w:spacing w:before="240" w:after="120"/>
      </w:pPr>
      <w:r>
        <w:t xml:space="preserve">Budgeted cost: £ </w:t>
      </w:r>
      <w:r w:rsidR="00BF134B">
        <w:t>42,878</w:t>
      </w:r>
    </w:p>
    <w:tbl>
      <w:tblPr>
        <w:tblW w:w="5604" w:type="pct"/>
        <w:tblInd w:w="-431" w:type="dxa"/>
        <w:tblLayout w:type="fixed"/>
        <w:tblCellMar>
          <w:left w:w="10" w:type="dxa"/>
          <w:right w:w="10" w:type="dxa"/>
        </w:tblCellMar>
        <w:tblLook w:val="04A0" w:firstRow="1" w:lastRow="0" w:firstColumn="1" w:lastColumn="0" w:noHBand="0" w:noVBand="1"/>
      </w:tblPr>
      <w:tblGrid>
        <w:gridCol w:w="2216"/>
        <w:gridCol w:w="2888"/>
        <w:gridCol w:w="1518"/>
        <w:gridCol w:w="4010"/>
      </w:tblGrid>
      <w:tr w:rsidR="00E00C78" w14:paraId="2A7D5537" w14:textId="11A13499" w:rsidTr="00B45545">
        <w:trPr>
          <w:trHeight w:val="345"/>
        </w:trPr>
        <w:tc>
          <w:tcPr>
            <w:tcW w:w="22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00C78" w:rsidRDefault="00E00C78" w:rsidP="00BC4532">
            <w:pPr>
              <w:pStyle w:val="TableHeader"/>
              <w:jc w:val="left"/>
            </w:pPr>
            <w:r>
              <w:t>Activity</w:t>
            </w:r>
          </w:p>
        </w:tc>
        <w:tc>
          <w:tcPr>
            <w:tcW w:w="28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00C78" w:rsidRDefault="00E00C78" w:rsidP="00BC4532">
            <w:pPr>
              <w:pStyle w:val="TableHeader"/>
              <w:jc w:val="left"/>
            </w:pPr>
            <w:r>
              <w:t>Evidence that supports this approach</w:t>
            </w:r>
          </w:p>
        </w:tc>
        <w:tc>
          <w:tcPr>
            <w:tcW w:w="15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00C78" w:rsidRDefault="00E00C78" w:rsidP="00BC4532">
            <w:pPr>
              <w:pStyle w:val="TableHeader"/>
              <w:jc w:val="left"/>
            </w:pPr>
            <w:r>
              <w:t>Challenge number(s) addressed</w:t>
            </w:r>
          </w:p>
        </w:tc>
        <w:tc>
          <w:tcPr>
            <w:tcW w:w="4010" w:type="dxa"/>
            <w:tcBorders>
              <w:top w:val="single" w:sz="4" w:space="0" w:color="000000"/>
              <w:left w:val="single" w:sz="4" w:space="0" w:color="000000"/>
              <w:bottom w:val="single" w:sz="4" w:space="0" w:color="000000"/>
              <w:right w:val="single" w:sz="4" w:space="0" w:color="000000"/>
            </w:tcBorders>
            <w:shd w:val="clear" w:color="auto" w:fill="D8E2E9"/>
          </w:tcPr>
          <w:p w14:paraId="706B9CA8" w14:textId="4F6E9B48" w:rsidR="00E00C78" w:rsidRDefault="00E00C78" w:rsidP="00BC4532">
            <w:pPr>
              <w:pStyle w:val="TableHeader"/>
              <w:jc w:val="left"/>
            </w:pPr>
            <w:r>
              <w:rPr>
                <w:lang w:eastAsia="en-US"/>
              </w:rPr>
              <w:t>Intended Impact</w:t>
            </w:r>
          </w:p>
        </w:tc>
      </w:tr>
      <w:tr w:rsidR="00E00C78" w14:paraId="2A7D553F" w14:textId="76811CB5" w:rsidTr="00B45545">
        <w:trPr>
          <w:trHeight w:val="323"/>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1A5DFE5" w:rsidR="00E00C78" w:rsidRPr="00785502" w:rsidRDefault="00E00C78" w:rsidP="00BC4532">
            <w:pPr>
              <w:pStyle w:val="TableRow"/>
              <w:rPr>
                <w:i/>
                <w:sz w:val="22"/>
                <w:szCs w:val="22"/>
              </w:rPr>
            </w:pPr>
            <w:r w:rsidRPr="00785502">
              <w:rPr>
                <w:sz w:val="22"/>
                <w:szCs w:val="22"/>
                <w:lang w:eastAsia="en-US"/>
              </w:rPr>
              <w:t xml:space="preserve">1.25 days Careers Advisor (IAG)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96E3D04" w:rsidR="00E00C78" w:rsidRPr="00785502" w:rsidRDefault="00E00C78" w:rsidP="00BC4532">
            <w:pPr>
              <w:pStyle w:val="TableRowCentered"/>
              <w:jc w:val="left"/>
              <w:rPr>
                <w:sz w:val="22"/>
                <w:szCs w:val="22"/>
              </w:rPr>
            </w:pPr>
            <w:r w:rsidRPr="00785502">
              <w:rPr>
                <w:sz w:val="22"/>
                <w:szCs w:val="22"/>
              </w:rPr>
              <w:t>Gatsby Benchmarks</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13AA6E2" w:rsidR="00E00C78" w:rsidRPr="00785502" w:rsidRDefault="00E00C78" w:rsidP="00BC4532">
            <w:pPr>
              <w:pStyle w:val="TableRowCentered"/>
              <w:jc w:val="left"/>
              <w:rPr>
                <w:sz w:val="22"/>
                <w:szCs w:val="22"/>
              </w:rPr>
            </w:pPr>
          </w:p>
        </w:tc>
        <w:tc>
          <w:tcPr>
            <w:tcW w:w="4010" w:type="dxa"/>
            <w:tcBorders>
              <w:top w:val="single" w:sz="4" w:space="0" w:color="000000"/>
              <w:left w:val="single" w:sz="4" w:space="0" w:color="000000"/>
              <w:bottom w:val="single" w:sz="4" w:space="0" w:color="000000"/>
              <w:right w:val="single" w:sz="4" w:space="0" w:color="000000"/>
            </w:tcBorders>
          </w:tcPr>
          <w:p w14:paraId="523743F0" w14:textId="22BD4132" w:rsidR="00E00C78" w:rsidRPr="00785502" w:rsidRDefault="00E00C78" w:rsidP="00BC4532">
            <w:pPr>
              <w:pStyle w:val="TableRowCentered"/>
              <w:jc w:val="left"/>
              <w:rPr>
                <w:sz w:val="22"/>
                <w:szCs w:val="22"/>
                <w:lang w:eastAsia="en-US"/>
              </w:rPr>
            </w:pPr>
            <w:r w:rsidRPr="00785502">
              <w:rPr>
                <w:sz w:val="22"/>
                <w:szCs w:val="22"/>
                <w:lang w:eastAsia="en-US"/>
              </w:rPr>
              <w:t>Reduction in NEET figures.</w:t>
            </w:r>
          </w:p>
        </w:tc>
      </w:tr>
      <w:tr w:rsidR="00A3539B" w14:paraId="0751A218" w14:textId="77777777" w:rsidTr="00D34AB6">
        <w:trPr>
          <w:trHeight w:val="318"/>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C722" w14:textId="77777777" w:rsidR="00A3539B" w:rsidRPr="00785502" w:rsidRDefault="00A3539B" w:rsidP="00D34AB6">
            <w:pPr>
              <w:pStyle w:val="TableRow"/>
              <w:rPr>
                <w:sz w:val="22"/>
                <w:szCs w:val="22"/>
              </w:rPr>
            </w:pPr>
            <w:r>
              <w:rPr>
                <w:sz w:val="22"/>
                <w:szCs w:val="22"/>
              </w:rPr>
              <w:t>Provision of Animal Therapy</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35FF" w14:textId="79609906" w:rsidR="00A3539B" w:rsidRPr="00785502" w:rsidRDefault="004E6B26" w:rsidP="00D34AB6">
            <w:pPr>
              <w:pStyle w:val="TableRowCentered"/>
              <w:jc w:val="left"/>
              <w:rPr>
                <w:sz w:val="22"/>
                <w:szCs w:val="22"/>
              </w:rPr>
            </w:pPr>
            <w:r>
              <w:rPr>
                <w:sz w:val="22"/>
                <w:szCs w:val="22"/>
              </w:rPr>
              <w:t xml:space="preserve">Outdoor adventure learning- </w:t>
            </w:r>
            <w:r>
              <w:rPr>
                <w:sz w:val="22"/>
                <w:szCs w:val="22"/>
                <w:lang w:eastAsia="en-US"/>
              </w:rPr>
              <w:t>Education Endowment Fund</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45EE4" w14:textId="77777777" w:rsidR="00A3539B" w:rsidRPr="00785502" w:rsidRDefault="00A3539B" w:rsidP="00D34AB6">
            <w:pPr>
              <w:pStyle w:val="TableRowCentered"/>
              <w:jc w:val="left"/>
              <w:rPr>
                <w:sz w:val="22"/>
                <w:szCs w:val="22"/>
              </w:rPr>
            </w:pPr>
            <w:r>
              <w:rPr>
                <w:sz w:val="22"/>
                <w:szCs w:val="22"/>
              </w:rPr>
              <w:t>10</w:t>
            </w:r>
          </w:p>
        </w:tc>
        <w:tc>
          <w:tcPr>
            <w:tcW w:w="4010" w:type="dxa"/>
            <w:tcBorders>
              <w:top w:val="single" w:sz="4" w:space="0" w:color="000000"/>
              <w:left w:val="single" w:sz="4" w:space="0" w:color="000000"/>
              <w:bottom w:val="single" w:sz="4" w:space="0" w:color="000000"/>
              <w:right w:val="single" w:sz="4" w:space="0" w:color="000000"/>
            </w:tcBorders>
          </w:tcPr>
          <w:p w14:paraId="09290FD9" w14:textId="77777777" w:rsidR="00A3539B" w:rsidRPr="00785502" w:rsidRDefault="00A3539B" w:rsidP="00D34AB6">
            <w:pPr>
              <w:pStyle w:val="TableRowCentered"/>
              <w:jc w:val="left"/>
              <w:rPr>
                <w:sz w:val="22"/>
                <w:szCs w:val="22"/>
                <w:lang w:eastAsia="en-US"/>
              </w:rPr>
            </w:pPr>
            <w:r w:rsidRPr="00785502">
              <w:rPr>
                <w:sz w:val="22"/>
                <w:szCs w:val="22"/>
                <w:lang w:eastAsia="en-US"/>
              </w:rPr>
              <w:t>Improved overall well-being of targeted students - confidence/mental well-being and engagement.</w:t>
            </w:r>
          </w:p>
        </w:tc>
      </w:tr>
      <w:tr w:rsidR="00A3539B" w14:paraId="6D9AFED1" w14:textId="77777777" w:rsidTr="00657118">
        <w:trPr>
          <w:trHeight w:val="318"/>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0FBC6" w14:textId="77777777" w:rsidR="00A3539B" w:rsidRPr="00785502" w:rsidRDefault="00A3539B" w:rsidP="00657118">
            <w:pPr>
              <w:pStyle w:val="TableRow"/>
              <w:rPr>
                <w:i/>
                <w:sz w:val="22"/>
                <w:szCs w:val="22"/>
              </w:rPr>
            </w:pPr>
            <w:r w:rsidRPr="00903122">
              <w:rPr>
                <w:sz w:val="22"/>
              </w:rPr>
              <w:t>Jamie’s farm and follow up outreach for vulnerable children</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79E5E" w14:textId="5DC55761" w:rsidR="004E6B26" w:rsidRPr="00785502" w:rsidRDefault="00431EF6" w:rsidP="004E6B26">
            <w:pPr>
              <w:pStyle w:val="TableRowCentered"/>
              <w:jc w:val="left"/>
              <w:rPr>
                <w:sz w:val="22"/>
                <w:szCs w:val="22"/>
              </w:rPr>
            </w:pPr>
            <w:r>
              <w:rPr>
                <w:sz w:val="22"/>
                <w:szCs w:val="22"/>
              </w:rPr>
              <w:t>Collaborative</w:t>
            </w:r>
            <w:r w:rsidR="004E6B26">
              <w:rPr>
                <w:sz w:val="22"/>
                <w:szCs w:val="22"/>
              </w:rPr>
              <w:t>; Outdoor adventure</w:t>
            </w:r>
            <w:r>
              <w:rPr>
                <w:sz w:val="22"/>
                <w:szCs w:val="22"/>
              </w:rPr>
              <w:t xml:space="preserve"> learning approaches</w:t>
            </w:r>
            <w:r w:rsidR="004E6B26">
              <w:rPr>
                <w:sz w:val="22"/>
                <w:szCs w:val="22"/>
              </w:rPr>
              <w:t xml:space="preserve"> - </w:t>
            </w:r>
            <w:r w:rsidR="004E6B26">
              <w:rPr>
                <w:sz w:val="22"/>
                <w:szCs w:val="22"/>
                <w:lang w:eastAsia="en-US"/>
              </w:rPr>
              <w:t>Education Endowment Fund</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341E9" w14:textId="77777777" w:rsidR="00A3539B" w:rsidRPr="00785502" w:rsidRDefault="00A3539B" w:rsidP="00657118">
            <w:pPr>
              <w:pStyle w:val="TableRowCentered"/>
              <w:jc w:val="left"/>
              <w:rPr>
                <w:sz w:val="22"/>
                <w:szCs w:val="22"/>
              </w:rPr>
            </w:pPr>
            <w:r>
              <w:rPr>
                <w:sz w:val="22"/>
                <w:szCs w:val="22"/>
              </w:rPr>
              <w:t>10</w:t>
            </w:r>
          </w:p>
        </w:tc>
        <w:tc>
          <w:tcPr>
            <w:tcW w:w="4010" w:type="dxa"/>
            <w:tcBorders>
              <w:top w:val="single" w:sz="4" w:space="0" w:color="000000"/>
              <w:left w:val="single" w:sz="4" w:space="0" w:color="000000"/>
              <w:bottom w:val="single" w:sz="4" w:space="0" w:color="000000"/>
              <w:right w:val="single" w:sz="4" w:space="0" w:color="000000"/>
            </w:tcBorders>
          </w:tcPr>
          <w:p w14:paraId="34243F3E" w14:textId="77777777" w:rsidR="00A3539B" w:rsidRPr="00785502" w:rsidRDefault="00A3539B" w:rsidP="00657118">
            <w:pPr>
              <w:pStyle w:val="TableRowCentered"/>
              <w:jc w:val="left"/>
              <w:rPr>
                <w:sz w:val="22"/>
                <w:szCs w:val="22"/>
              </w:rPr>
            </w:pPr>
            <w:r w:rsidRPr="00785502">
              <w:rPr>
                <w:sz w:val="22"/>
                <w:szCs w:val="22"/>
                <w:lang w:eastAsia="en-US"/>
              </w:rPr>
              <w:t>Improved overall well-being of targeted students - confidence/mental well-being and engagement.</w:t>
            </w:r>
          </w:p>
        </w:tc>
      </w:tr>
      <w:tr w:rsidR="00A3539B" w14:paraId="147FCC0F" w14:textId="77777777" w:rsidTr="00B45545">
        <w:trPr>
          <w:trHeight w:val="323"/>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8D27F" w14:textId="77777777" w:rsidR="00A3539B" w:rsidRPr="00785502" w:rsidRDefault="00A3539B" w:rsidP="00BC4532">
            <w:pPr>
              <w:pStyle w:val="TableRow"/>
              <w:rPr>
                <w:sz w:val="22"/>
                <w:szCs w:val="22"/>
                <w:lang w:eastAsia="en-US"/>
              </w:rPr>
            </w:pP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03977" w14:textId="77777777" w:rsidR="00A3539B" w:rsidRPr="00785502" w:rsidRDefault="00A3539B" w:rsidP="00BC4532">
            <w:pPr>
              <w:pStyle w:val="TableRowCentered"/>
              <w:jc w:val="left"/>
              <w:rPr>
                <w:sz w:val="22"/>
                <w:szCs w:val="22"/>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95036" w14:textId="77777777" w:rsidR="00A3539B" w:rsidRPr="00785502" w:rsidRDefault="00A3539B" w:rsidP="00BC4532">
            <w:pPr>
              <w:pStyle w:val="TableRowCentered"/>
              <w:jc w:val="left"/>
              <w:rPr>
                <w:sz w:val="22"/>
                <w:szCs w:val="22"/>
              </w:rPr>
            </w:pPr>
          </w:p>
        </w:tc>
        <w:tc>
          <w:tcPr>
            <w:tcW w:w="4010" w:type="dxa"/>
            <w:tcBorders>
              <w:top w:val="single" w:sz="4" w:space="0" w:color="000000"/>
              <w:left w:val="single" w:sz="4" w:space="0" w:color="000000"/>
              <w:bottom w:val="single" w:sz="4" w:space="0" w:color="000000"/>
              <w:right w:val="single" w:sz="4" w:space="0" w:color="000000"/>
            </w:tcBorders>
          </w:tcPr>
          <w:p w14:paraId="1DB71A7C" w14:textId="77777777" w:rsidR="00A3539B" w:rsidRPr="00785502" w:rsidRDefault="00A3539B" w:rsidP="00BC4532">
            <w:pPr>
              <w:pStyle w:val="TableRowCentered"/>
              <w:jc w:val="left"/>
              <w:rPr>
                <w:sz w:val="22"/>
                <w:szCs w:val="22"/>
                <w:lang w:eastAsia="en-US"/>
              </w:rPr>
            </w:pPr>
          </w:p>
        </w:tc>
      </w:tr>
      <w:tr w:rsidR="00E00C78" w14:paraId="4C768E18" w14:textId="2D363584" w:rsidTr="00B45545">
        <w:trPr>
          <w:trHeight w:val="411"/>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660D" w14:textId="0C49CE35" w:rsidR="00E00C78" w:rsidRPr="00785502" w:rsidRDefault="00E00C78" w:rsidP="00BC4532">
            <w:pPr>
              <w:pStyle w:val="TableRow"/>
              <w:rPr>
                <w:i/>
                <w:sz w:val="22"/>
                <w:szCs w:val="22"/>
              </w:rPr>
            </w:pPr>
            <w:r w:rsidRPr="00785502">
              <w:rPr>
                <w:sz w:val="22"/>
                <w:szCs w:val="22"/>
                <w:lang w:eastAsia="en-US"/>
              </w:rPr>
              <w:t>Hardship Fund.</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7E2BA" w14:textId="2E6E23AD" w:rsidR="00E00C78" w:rsidRPr="00785502" w:rsidRDefault="00E00C78" w:rsidP="00BC4532">
            <w:pPr>
              <w:pStyle w:val="TableRowCentered"/>
              <w:jc w:val="left"/>
              <w:rPr>
                <w:sz w:val="22"/>
                <w:szCs w:val="22"/>
              </w:rPr>
            </w:pPr>
            <w:r w:rsidRPr="00785502">
              <w:rPr>
                <w:sz w:val="22"/>
                <w:szCs w:val="22"/>
                <w:lang w:eastAsia="en-US"/>
              </w:rPr>
              <w:t>Sutton Trust Recommendation</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E9E4" w14:textId="7363E6E6" w:rsidR="00E00C78" w:rsidRPr="00785502" w:rsidRDefault="00B45545" w:rsidP="00BC4532">
            <w:pPr>
              <w:pStyle w:val="TableRowCentered"/>
              <w:jc w:val="left"/>
              <w:rPr>
                <w:sz w:val="22"/>
                <w:szCs w:val="22"/>
              </w:rPr>
            </w:pPr>
            <w:r>
              <w:rPr>
                <w:sz w:val="22"/>
                <w:szCs w:val="22"/>
              </w:rPr>
              <w:t>1, 4, 10</w:t>
            </w:r>
          </w:p>
        </w:tc>
        <w:tc>
          <w:tcPr>
            <w:tcW w:w="4010" w:type="dxa"/>
            <w:tcBorders>
              <w:top w:val="single" w:sz="4" w:space="0" w:color="000000"/>
              <w:left w:val="single" w:sz="4" w:space="0" w:color="000000"/>
              <w:bottom w:val="single" w:sz="4" w:space="0" w:color="000000"/>
              <w:right w:val="single" w:sz="4" w:space="0" w:color="000000"/>
            </w:tcBorders>
          </w:tcPr>
          <w:p w14:paraId="13AFCEF0" w14:textId="21682396" w:rsidR="00E00C78" w:rsidRPr="00785502" w:rsidRDefault="00E00C78" w:rsidP="00BC4532">
            <w:pPr>
              <w:pStyle w:val="TableRowCentered"/>
              <w:jc w:val="left"/>
              <w:rPr>
                <w:sz w:val="22"/>
                <w:szCs w:val="22"/>
                <w:lang w:eastAsia="en-US"/>
              </w:rPr>
            </w:pPr>
            <w:r w:rsidRPr="00785502">
              <w:rPr>
                <w:sz w:val="22"/>
                <w:szCs w:val="22"/>
                <w:lang w:eastAsia="en-US"/>
              </w:rPr>
              <w:t>Prepared for learning, improved attendance and participation in school events.</w:t>
            </w:r>
            <w:r w:rsidR="00B45545">
              <w:rPr>
                <w:sz w:val="22"/>
                <w:szCs w:val="22"/>
                <w:lang w:eastAsia="en-US"/>
              </w:rPr>
              <w:t xml:space="preserve"> Improved well being</w:t>
            </w:r>
          </w:p>
        </w:tc>
      </w:tr>
      <w:tr w:rsidR="00E00C78" w14:paraId="07EEB29D" w14:textId="73A06C6F" w:rsidTr="00B45545">
        <w:trPr>
          <w:trHeight w:val="597"/>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FED78" w14:textId="77777777" w:rsidR="00E17DB2" w:rsidRDefault="00431EF6" w:rsidP="00BC4532">
            <w:pPr>
              <w:pStyle w:val="TableRow"/>
              <w:rPr>
                <w:sz w:val="22"/>
                <w:szCs w:val="22"/>
                <w:lang w:eastAsia="en-US"/>
              </w:rPr>
            </w:pPr>
            <w:r>
              <w:rPr>
                <w:sz w:val="22"/>
                <w:szCs w:val="22"/>
                <w:lang w:eastAsia="en-US"/>
              </w:rPr>
              <w:t xml:space="preserve">Harlington Alternative Education </w:t>
            </w:r>
          </w:p>
          <w:p w14:paraId="78DE8380" w14:textId="12BE9968" w:rsidR="00E00C78" w:rsidRPr="00785502" w:rsidRDefault="00431EF6" w:rsidP="00BC4532">
            <w:pPr>
              <w:pStyle w:val="TableRow"/>
              <w:rPr>
                <w:i/>
                <w:sz w:val="22"/>
                <w:szCs w:val="22"/>
              </w:rPr>
            </w:pPr>
            <w:r>
              <w:rPr>
                <w:sz w:val="22"/>
                <w:szCs w:val="22"/>
                <w:lang w:eastAsia="en-US"/>
              </w:rPr>
              <w:t>bespoke provision</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7CE3F" w14:textId="6182A2AB" w:rsidR="00E00C78" w:rsidRPr="00785502" w:rsidRDefault="005A7163" w:rsidP="00903122">
            <w:pPr>
              <w:pStyle w:val="TableRowCentered"/>
              <w:jc w:val="left"/>
              <w:rPr>
                <w:sz w:val="22"/>
                <w:szCs w:val="22"/>
              </w:rPr>
            </w:pPr>
            <w:r>
              <w:rPr>
                <w:sz w:val="22"/>
                <w:szCs w:val="22"/>
              </w:rPr>
              <w:t xml:space="preserve">Collaborative small group learning. </w:t>
            </w:r>
            <w:r>
              <w:rPr>
                <w:sz w:val="22"/>
                <w:szCs w:val="22"/>
                <w:lang w:eastAsia="en-US"/>
              </w:rPr>
              <w:t>Education Endowment Fund (E</w:t>
            </w:r>
            <w:r>
              <w:rPr>
                <w:sz w:val="22"/>
                <w:szCs w:val="22"/>
              </w:rPr>
              <w:t>EF); Sutton Trust</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00D65" w14:textId="57130627" w:rsidR="00E00C78" w:rsidRPr="00785502" w:rsidRDefault="005A7163" w:rsidP="00BC4532">
            <w:pPr>
              <w:pStyle w:val="TableRowCentered"/>
              <w:jc w:val="left"/>
              <w:rPr>
                <w:sz w:val="22"/>
                <w:szCs w:val="22"/>
              </w:rPr>
            </w:pPr>
            <w:r>
              <w:rPr>
                <w:sz w:val="22"/>
                <w:szCs w:val="22"/>
              </w:rPr>
              <w:t>4, 5, 10</w:t>
            </w:r>
          </w:p>
        </w:tc>
        <w:tc>
          <w:tcPr>
            <w:tcW w:w="4010" w:type="dxa"/>
            <w:tcBorders>
              <w:top w:val="single" w:sz="4" w:space="0" w:color="000000"/>
              <w:left w:val="single" w:sz="4" w:space="0" w:color="000000"/>
              <w:bottom w:val="single" w:sz="4" w:space="0" w:color="000000"/>
              <w:right w:val="single" w:sz="4" w:space="0" w:color="000000"/>
            </w:tcBorders>
          </w:tcPr>
          <w:p w14:paraId="6C6CD92B" w14:textId="214569EC" w:rsidR="00E00C78" w:rsidRPr="00785502" w:rsidRDefault="00E00C78" w:rsidP="00BC4532">
            <w:pPr>
              <w:pStyle w:val="TableRowCentered"/>
              <w:jc w:val="left"/>
              <w:rPr>
                <w:sz w:val="22"/>
                <w:szCs w:val="22"/>
                <w:lang w:eastAsia="en-US"/>
              </w:rPr>
            </w:pPr>
            <w:r w:rsidRPr="00785502">
              <w:rPr>
                <w:sz w:val="22"/>
                <w:szCs w:val="22"/>
                <w:lang w:eastAsia="en-US"/>
              </w:rPr>
              <w:t>Improved attendance, students supported in learning/engagement leading to better outcomes. Decrease in fixed term exclusions.</w:t>
            </w:r>
            <w:r w:rsidR="005A7163">
              <w:rPr>
                <w:sz w:val="22"/>
                <w:szCs w:val="22"/>
                <w:lang w:eastAsia="en-US"/>
              </w:rPr>
              <w:t xml:space="preserve"> Keep children in Education</w:t>
            </w:r>
          </w:p>
        </w:tc>
      </w:tr>
      <w:tr w:rsidR="00E00C78" w14:paraId="01C2F018" w14:textId="06602811" w:rsidTr="00B45545">
        <w:trPr>
          <w:trHeight w:val="318"/>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60DDC" w14:textId="68294811" w:rsidR="00E00C78" w:rsidRPr="00785502" w:rsidRDefault="00431EF6" w:rsidP="00BC4532">
            <w:pPr>
              <w:pStyle w:val="TableRow"/>
              <w:rPr>
                <w:i/>
                <w:sz w:val="22"/>
                <w:szCs w:val="22"/>
              </w:rPr>
            </w:pPr>
            <w:r>
              <w:rPr>
                <w:bCs/>
                <w:sz w:val="22"/>
                <w:szCs w:val="22"/>
                <w:lang w:eastAsia="en-US"/>
              </w:rPr>
              <w:t>50%</w:t>
            </w:r>
            <w:r w:rsidR="00E17DB2">
              <w:rPr>
                <w:bCs/>
                <w:sz w:val="22"/>
                <w:szCs w:val="22"/>
                <w:lang w:eastAsia="en-US"/>
              </w:rPr>
              <w:t xml:space="preserve"> PP Discount for</w:t>
            </w:r>
            <w:r>
              <w:rPr>
                <w:bCs/>
                <w:sz w:val="22"/>
                <w:szCs w:val="22"/>
                <w:lang w:eastAsia="en-US"/>
              </w:rPr>
              <w:t xml:space="preserve"> </w:t>
            </w:r>
            <w:r w:rsidR="00E00C78" w:rsidRPr="00785502">
              <w:rPr>
                <w:bCs/>
                <w:sz w:val="22"/>
                <w:szCs w:val="22"/>
                <w:lang w:eastAsia="en-US"/>
              </w:rPr>
              <w:t>Trips</w:t>
            </w:r>
            <w:r w:rsidR="00E17DB2">
              <w:rPr>
                <w:bCs/>
                <w:sz w:val="22"/>
                <w:szCs w:val="22"/>
                <w:lang w:eastAsia="en-US"/>
              </w:rPr>
              <w:t>/</w:t>
            </w:r>
            <w:r>
              <w:rPr>
                <w:bCs/>
                <w:sz w:val="22"/>
                <w:szCs w:val="22"/>
                <w:lang w:eastAsia="en-US"/>
              </w:rPr>
              <w:t>visits</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E96" w14:textId="0EDBC3FC" w:rsidR="00E00C78" w:rsidRPr="00785502" w:rsidRDefault="00E17DB2" w:rsidP="00BC4532">
            <w:pPr>
              <w:pStyle w:val="TableRowCentered"/>
              <w:jc w:val="left"/>
              <w:rPr>
                <w:sz w:val="22"/>
                <w:szCs w:val="22"/>
              </w:rPr>
            </w:pPr>
            <w:r>
              <w:rPr>
                <w:sz w:val="22"/>
                <w:szCs w:val="22"/>
              </w:rPr>
              <w:t xml:space="preserve">Outdoor adventure learning- </w:t>
            </w:r>
            <w:r>
              <w:rPr>
                <w:sz w:val="22"/>
                <w:szCs w:val="22"/>
                <w:lang w:eastAsia="en-US"/>
              </w:rPr>
              <w:t xml:space="preserve">Education Endowment Fund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55D24" w14:textId="77771772" w:rsidR="00E00C78" w:rsidRPr="00785502" w:rsidRDefault="00431EF6" w:rsidP="00BC4532">
            <w:pPr>
              <w:pStyle w:val="TableRowCentered"/>
              <w:jc w:val="left"/>
              <w:rPr>
                <w:sz w:val="22"/>
                <w:szCs w:val="22"/>
              </w:rPr>
            </w:pPr>
            <w:r>
              <w:rPr>
                <w:sz w:val="22"/>
                <w:szCs w:val="22"/>
              </w:rPr>
              <w:t>2, 10</w:t>
            </w:r>
          </w:p>
        </w:tc>
        <w:tc>
          <w:tcPr>
            <w:tcW w:w="4010" w:type="dxa"/>
            <w:tcBorders>
              <w:top w:val="single" w:sz="4" w:space="0" w:color="000000"/>
              <w:left w:val="single" w:sz="4" w:space="0" w:color="000000"/>
              <w:bottom w:val="single" w:sz="4" w:space="0" w:color="000000"/>
              <w:right w:val="single" w:sz="4" w:space="0" w:color="000000"/>
            </w:tcBorders>
          </w:tcPr>
          <w:p w14:paraId="31EDC135" w14:textId="6BEE66E4" w:rsidR="00E00C78" w:rsidRPr="00785502" w:rsidRDefault="00E00C78" w:rsidP="00BC4532">
            <w:pPr>
              <w:pStyle w:val="TableRowCentered"/>
              <w:jc w:val="left"/>
              <w:rPr>
                <w:sz w:val="22"/>
                <w:szCs w:val="22"/>
              </w:rPr>
            </w:pPr>
            <w:r w:rsidRPr="00785502">
              <w:rPr>
                <w:sz w:val="22"/>
                <w:szCs w:val="22"/>
                <w:lang w:eastAsia="en-US"/>
              </w:rPr>
              <w:t>Improved engagement and raised motivation for target students.</w:t>
            </w:r>
          </w:p>
        </w:tc>
      </w:tr>
      <w:tr w:rsidR="00E00C78" w14:paraId="5D50CFC9" w14:textId="5ACEA86C" w:rsidTr="00B45545">
        <w:trPr>
          <w:trHeight w:val="318"/>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BDC0" w14:textId="5FF18585" w:rsidR="00B45545" w:rsidRPr="00785502" w:rsidRDefault="00B45545" w:rsidP="00BC4532">
            <w:pPr>
              <w:pStyle w:val="TableRow"/>
              <w:rPr>
                <w:i/>
                <w:sz w:val="22"/>
                <w:szCs w:val="22"/>
              </w:rPr>
            </w:pPr>
            <w:r>
              <w:rPr>
                <w:i/>
                <w:sz w:val="22"/>
                <w:szCs w:val="22"/>
              </w:rPr>
              <w:t>Equalities</w:t>
            </w:r>
            <w:r w:rsidR="00431EF6">
              <w:rPr>
                <w:i/>
                <w:sz w:val="22"/>
                <w:szCs w:val="22"/>
              </w:rPr>
              <w:t xml:space="preserve"> </w:t>
            </w:r>
            <w:r>
              <w:rPr>
                <w:i/>
                <w:sz w:val="22"/>
                <w:szCs w:val="22"/>
              </w:rP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3B54" w14:textId="3703FE63" w:rsidR="00E00C78" w:rsidRPr="00785502" w:rsidRDefault="00E00C78" w:rsidP="00BC4532">
            <w:pPr>
              <w:pStyle w:val="TableRowCentered"/>
              <w:jc w:val="left"/>
              <w:rPr>
                <w:sz w:val="22"/>
                <w:szCs w:val="22"/>
              </w:rPr>
            </w:pPr>
            <w:r w:rsidRPr="00785502">
              <w:rPr>
                <w:sz w:val="22"/>
                <w:szCs w:val="22"/>
                <w:lang w:eastAsia="en-US"/>
              </w:rPr>
              <w:t>Sutton Trust Recommendation</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AD16A" w14:textId="4387DF00" w:rsidR="00E00C78" w:rsidRPr="00785502" w:rsidRDefault="005A7163" w:rsidP="00BC4532">
            <w:pPr>
              <w:pStyle w:val="TableRowCentered"/>
              <w:jc w:val="left"/>
              <w:rPr>
                <w:sz w:val="22"/>
                <w:szCs w:val="22"/>
              </w:rPr>
            </w:pPr>
            <w:r>
              <w:rPr>
                <w:sz w:val="22"/>
                <w:szCs w:val="22"/>
              </w:rPr>
              <w:t>1, 2, 5, 7</w:t>
            </w:r>
          </w:p>
        </w:tc>
        <w:tc>
          <w:tcPr>
            <w:tcW w:w="4010" w:type="dxa"/>
            <w:tcBorders>
              <w:top w:val="single" w:sz="4" w:space="0" w:color="000000"/>
              <w:left w:val="single" w:sz="4" w:space="0" w:color="000000"/>
              <w:bottom w:val="single" w:sz="4" w:space="0" w:color="000000"/>
              <w:right w:val="single" w:sz="4" w:space="0" w:color="000000"/>
            </w:tcBorders>
          </w:tcPr>
          <w:p w14:paraId="4520254E" w14:textId="5279AE53" w:rsidR="00E00C78" w:rsidRPr="00785502" w:rsidRDefault="00E00C78" w:rsidP="00BC4532">
            <w:pPr>
              <w:pStyle w:val="TableRowCentered"/>
              <w:jc w:val="left"/>
              <w:rPr>
                <w:sz w:val="22"/>
                <w:szCs w:val="22"/>
                <w:lang w:eastAsia="en-US"/>
              </w:rPr>
            </w:pPr>
            <w:r w:rsidRPr="00785502">
              <w:rPr>
                <w:sz w:val="22"/>
                <w:szCs w:val="22"/>
                <w:lang w:eastAsia="en-US"/>
              </w:rPr>
              <w:t>Improved parental engagement and student-teacher support strategies.</w:t>
            </w:r>
          </w:p>
        </w:tc>
      </w:tr>
      <w:tr w:rsidR="00E00C78" w14:paraId="07C33D36" w14:textId="2E49FFCB" w:rsidTr="00B45545">
        <w:trPr>
          <w:trHeight w:val="318"/>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6288" w14:textId="301DC898" w:rsidR="00E00C78" w:rsidRPr="00785502" w:rsidRDefault="00E00C78" w:rsidP="00BC4532">
            <w:pPr>
              <w:pStyle w:val="TableRow"/>
              <w:rPr>
                <w:i/>
                <w:sz w:val="22"/>
                <w:szCs w:val="22"/>
              </w:rPr>
            </w:pPr>
            <w:r w:rsidRPr="00785502">
              <w:rPr>
                <w:bCs/>
                <w:sz w:val="22"/>
                <w:szCs w:val="22"/>
                <w:lang w:eastAsia="en-US"/>
              </w:rPr>
              <w:t>6</w:t>
            </w:r>
            <w:r w:rsidRPr="00785502">
              <w:rPr>
                <w:bCs/>
                <w:sz w:val="22"/>
                <w:szCs w:val="22"/>
                <w:vertAlign w:val="superscript"/>
                <w:lang w:eastAsia="en-US"/>
              </w:rPr>
              <w:t>th</w:t>
            </w:r>
            <w:r w:rsidRPr="00785502">
              <w:rPr>
                <w:bCs/>
                <w:sz w:val="22"/>
                <w:szCs w:val="22"/>
                <w:lang w:eastAsia="en-US"/>
              </w:rPr>
              <w:t xml:space="preserve"> form </w:t>
            </w:r>
            <w:r w:rsidR="00431EF6">
              <w:rPr>
                <w:bCs/>
                <w:sz w:val="22"/>
                <w:szCs w:val="22"/>
                <w:lang w:eastAsia="en-US"/>
              </w:rPr>
              <w:t>Study Skills; Peer Tutoring</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7CB0E" w14:textId="1011FF9C" w:rsidR="00E00C78" w:rsidRPr="00785502" w:rsidRDefault="00431EF6" w:rsidP="00BC4532">
            <w:pPr>
              <w:pStyle w:val="TableRowCentered"/>
              <w:jc w:val="left"/>
              <w:rPr>
                <w:sz w:val="22"/>
                <w:szCs w:val="22"/>
              </w:rPr>
            </w:pPr>
            <w:r>
              <w:rPr>
                <w:sz w:val="22"/>
                <w:szCs w:val="22"/>
                <w:lang w:eastAsia="en-US"/>
              </w:rPr>
              <w:t>Education Endowment Fund</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5B526" w14:textId="27E98EC6" w:rsidR="00E00C78" w:rsidRPr="00785502" w:rsidRDefault="00DF740F" w:rsidP="00BC4532">
            <w:pPr>
              <w:pStyle w:val="TableRowCentered"/>
              <w:jc w:val="left"/>
              <w:rPr>
                <w:sz w:val="22"/>
                <w:szCs w:val="22"/>
              </w:rPr>
            </w:pPr>
            <w:r>
              <w:rPr>
                <w:sz w:val="22"/>
                <w:szCs w:val="22"/>
              </w:rPr>
              <w:t>9</w:t>
            </w:r>
          </w:p>
        </w:tc>
        <w:tc>
          <w:tcPr>
            <w:tcW w:w="4010" w:type="dxa"/>
            <w:tcBorders>
              <w:top w:val="single" w:sz="4" w:space="0" w:color="000000"/>
              <w:left w:val="single" w:sz="4" w:space="0" w:color="000000"/>
              <w:bottom w:val="single" w:sz="4" w:space="0" w:color="000000"/>
              <w:right w:val="single" w:sz="4" w:space="0" w:color="000000"/>
            </w:tcBorders>
          </w:tcPr>
          <w:p w14:paraId="67E6E9B5" w14:textId="1FDB868E" w:rsidR="00E00C78" w:rsidRPr="00785502" w:rsidRDefault="00E00C78" w:rsidP="00BC4532">
            <w:pPr>
              <w:pStyle w:val="TableRowCentered"/>
              <w:jc w:val="left"/>
              <w:rPr>
                <w:sz w:val="22"/>
                <w:szCs w:val="22"/>
                <w:lang w:eastAsia="en-US"/>
              </w:rPr>
            </w:pPr>
            <w:r w:rsidRPr="00785502">
              <w:rPr>
                <w:sz w:val="22"/>
                <w:szCs w:val="22"/>
                <w:lang w:eastAsia="en-US"/>
              </w:rPr>
              <w:t>Improved transition arrangements: Yr11-12 and Yr12-13.</w:t>
            </w:r>
          </w:p>
        </w:tc>
      </w:tr>
    </w:tbl>
    <w:p w14:paraId="4F8357DF" w14:textId="77777777" w:rsidR="008C48FA" w:rsidRDefault="008C48FA" w:rsidP="00785502">
      <w:pPr>
        <w:spacing w:before="240" w:after="0"/>
        <w:rPr>
          <w:b/>
          <w:bCs/>
          <w:color w:val="104F75"/>
          <w:sz w:val="28"/>
          <w:szCs w:val="28"/>
        </w:rPr>
      </w:pPr>
    </w:p>
    <w:p w14:paraId="2A7D5541" w14:textId="7CCEE8FD" w:rsidR="00E66558" w:rsidRDefault="008C48FA" w:rsidP="00785502">
      <w:pPr>
        <w:spacing w:before="240" w:after="0"/>
        <w:rPr>
          <w:i/>
          <w:iCs/>
          <w:color w:val="104F75"/>
          <w:sz w:val="28"/>
          <w:szCs w:val="28"/>
        </w:rPr>
      </w:pPr>
      <w:r>
        <w:rPr>
          <w:b/>
          <w:bCs/>
          <w:color w:val="104F75"/>
          <w:sz w:val="28"/>
          <w:szCs w:val="28"/>
        </w:rPr>
        <w:br w:type="column"/>
      </w:r>
      <w:r w:rsidR="009D71E8">
        <w:rPr>
          <w:b/>
          <w:bCs/>
          <w:color w:val="104F75"/>
          <w:sz w:val="28"/>
          <w:szCs w:val="28"/>
        </w:rPr>
        <w:lastRenderedPageBreak/>
        <w:t xml:space="preserve">Total budgeted cost: £ </w:t>
      </w:r>
      <w:r w:rsidR="009D71E8">
        <w:rPr>
          <w:i/>
          <w:iCs/>
          <w:color w:val="104F75"/>
          <w:sz w:val="28"/>
          <w:szCs w:val="28"/>
        </w:rPr>
        <w:t>[insert sum of 3 amounts stated above]</w:t>
      </w:r>
    </w:p>
    <w:p w14:paraId="2A7D5542" w14:textId="5FB57CF5" w:rsidR="00785502" w:rsidRDefault="00785502" w:rsidP="00785502">
      <w:pPr>
        <w:suppressAutoHyphens w:val="0"/>
        <w:spacing w:after="0" w:line="240" w:lineRule="auto"/>
        <w:rPr>
          <w:b/>
          <w:color w:val="104F75"/>
        </w:rPr>
      </w:pPr>
    </w:p>
    <w:p w14:paraId="0FB556B1" w14:textId="61DBA93B" w:rsidR="00E66558" w:rsidRDefault="009D71E8" w:rsidP="00785502">
      <w:pPr>
        <w:tabs>
          <w:tab w:val="left" w:pos="3022"/>
        </w:tabs>
        <w:suppressAutoHyphens w:val="0"/>
        <w:spacing w:after="0" w:line="240" w:lineRule="auto"/>
        <w:jc w:val="center"/>
      </w:pPr>
      <w:r>
        <w:t>Part B: Review of outcomes in the previous academic year</w:t>
      </w:r>
    </w:p>
    <w:p w14:paraId="2A7D5543" w14:textId="77777777" w:rsidR="00E66558" w:rsidRDefault="009D71E8">
      <w:pPr>
        <w:pStyle w:val="Heading2"/>
      </w:pPr>
      <w:r>
        <w:t>Pupil premium strategy outcomes</w:t>
      </w:r>
    </w:p>
    <w:p w14:paraId="2A7D5544" w14:textId="3EB5686F"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10198"/>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26942" w14:textId="3A81B694" w:rsidR="00E74FE7" w:rsidRDefault="005A7163" w:rsidP="00E17DB2">
            <w:pPr>
              <w:ind w:left="-5"/>
              <w:rPr>
                <w:i/>
                <w:lang w:eastAsia="en-US"/>
              </w:rPr>
            </w:pPr>
            <w:r>
              <w:rPr>
                <w:i/>
                <w:lang w:eastAsia="en-US"/>
              </w:rPr>
              <w:t>T</w:t>
            </w:r>
            <w:r w:rsidR="00E74FE7">
              <w:rPr>
                <w:i/>
                <w:lang w:eastAsia="en-US"/>
              </w:rPr>
              <w:t>his table represents</w:t>
            </w:r>
            <w:r>
              <w:rPr>
                <w:i/>
                <w:lang w:eastAsia="en-US"/>
              </w:rPr>
              <w:t xml:space="preserve"> GCSE res</w:t>
            </w:r>
            <w:r w:rsidR="00E74FE7">
              <w:rPr>
                <w:i/>
                <w:lang w:eastAsia="en-US"/>
              </w:rPr>
              <w:t xml:space="preserve">ults based on </w:t>
            </w:r>
            <w:r>
              <w:rPr>
                <w:i/>
                <w:lang w:eastAsia="en-US"/>
              </w:rPr>
              <w:t>Teacher Assessed Grades (</w:t>
            </w:r>
            <w:r w:rsidR="00E74FE7">
              <w:rPr>
                <w:i/>
                <w:lang w:eastAsia="en-US"/>
              </w:rPr>
              <w:t>TAGs</w:t>
            </w:r>
            <w:r>
              <w:rPr>
                <w:i/>
                <w:lang w:eastAsia="en-US"/>
              </w:rPr>
              <w:t>) for</w:t>
            </w:r>
            <w:r w:rsidR="00E74FE7">
              <w:rPr>
                <w:i/>
                <w:lang w:eastAsia="en-US"/>
              </w:rPr>
              <w:t xml:space="preserve"> 202</w:t>
            </w:r>
            <w:r>
              <w:rPr>
                <w:i/>
                <w:lang w:eastAsia="en-US"/>
              </w:rPr>
              <w:t>0-2</w:t>
            </w:r>
            <w:r w:rsidR="00E74FE7">
              <w:rPr>
                <w:i/>
                <w:lang w:eastAsia="en-US"/>
              </w:rPr>
              <w:t>1</w:t>
            </w:r>
          </w:p>
          <w:tbl>
            <w:tblPr>
              <w:tblStyle w:val="TableGrid"/>
              <w:tblW w:w="9972" w:type="dxa"/>
              <w:tblInd w:w="0" w:type="dxa"/>
              <w:tblCellMar>
                <w:top w:w="48" w:type="dxa"/>
                <w:left w:w="107" w:type="dxa"/>
                <w:right w:w="49" w:type="dxa"/>
              </w:tblCellMar>
              <w:tblLook w:val="04A0" w:firstRow="1" w:lastRow="0" w:firstColumn="1" w:lastColumn="0" w:noHBand="0" w:noVBand="1"/>
            </w:tblPr>
            <w:tblGrid>
              <w:gridCol w:w="3329"/>
              <w:gridCol w:w="982"/>
              <w:gridCol w:w="1388"/>
              <w:gridCol w:w="1334"/>
              <w:gridCol w:w="1385"/>
              <w:gridCol w:w="1554"/>
            </w:tblGrid>
            <w:tr w:rsidR="00F842D2" w14:paraId="5D4DE2B6" w14:textId="77777777" w:rsidTr="00F842D2">
              <w:trPr>
                <w:trHeight w:val="444"/>
              </w:trPr>
              <w:tc>
                <w:tcPr>
                  <w:tcW w:w="3329" w:type="dxa"/>
                  <w:tcBorders>
                    <w:top w:val="single" w:sz="4" w:space="0" w:color="000000"/>
                    <w:left w:val="single" w:sz="4" w:space="0" w:color="000000"/>
                    <w:bottom w:val="single" w:sz="4" w:space="0" w:color="000000"/>
                    <w:right w:val="nil"/>
                  </w:tcBorders>
                  <w:shd w:val="clear" w:color="auto" w:fill="FFF2CC"/>
                  <w:vAlign w:val="center"/>
                  <w:hideMark/>
                </w:tcPr>
                <w:p w14:paraId="6D785F2A" w14:textId="77777777" w:rsidR="00F842D2" w:rsidRDefault="00F842D2" w:rsidP="00F842D2">
                  <w:pPr>
                    <w:spacing w:after="0" w:line="256" w:lineRule="auto"/>
                    <w:rPr>
                      <w:color w:val="000000"/>
                      <w:szCs w:val="22"/>
                    </w:rPr>
                  </w:pPr>
                </w:p>
              </w:tc>
              <w:tc>
                <w:tcPr>
                  <w:tcW w:w="982" w:type="dxa"/>
                  <w:tcBorders>
                    <w:top w:val="single" w:sz="4" w:space="0" w:color="000000"/>
                    <w:left w:val="nil"/>
                    <w:bottom w:val="single" w:sz="4" w:space="0" w:color="000000"/>
                    <w:right w:val="single" w:sz="4" w:space="0" w:color="000000"/>
                  </w:tcBorders>
                  <w:shd w:val="clear" w:color="auto" w:fill="FFF2CC"/>
                </w:tcPr>
                <w:p w14:paraId="3DE7C88B" w14:textId="77777777" w:rsidR="00F842D2" w:rsidRDefault="00F842D2" w:rsidP="00F842D2">
                  <w:pPr>
                    <w:spacing w:after="160" w:line="256" w:lineRule="auto"/>
                  </w:pPr>
                </w:p>
              </w:tc>
              <w:tc>
                <w:tcPr>
                  <w:tcW w:w="1388" w:type="dxa"/>
                  <w:tcBorders>
                    <w:top w:val="single" w:sz="4" w:space="0" w:color="000000"/>
                    <w:left w:val="single" w:sz="4" w:space="0" w:color="000000"/>
                    <w:bottom w:val="single" w:sz="4" w:space="0" w:color="000000"/>
                    <w:right w:val="single" w:sz="4" w:space="0" w:color="000000"/>
                  </w:tcBorders>
                  <w:shd w:val="clear" w:color="auto" w:fill="FFF2CC"/>
                  <w:hideMark/>
                </w:tcPr>
                <w:p w14:paraId="000540C3" w14:textId="77777777" w:rsidR="00F842D2" w:rsidRDefault="00F842D2" w:rsidP="00F842D2">
                  <w:pPr>
                    <w:spacing w:after="0" w:line="256" w:lineRule="auto"/>
                    <w:ind w:left="1"/>
                  </w:pPr>
                  <w:r>
                    <w:rPr>
                      <w:rFonts w:ascii="Tahoma" w:eastAsia="Tahoma" w:hAnsi="Tahoma" w:cs="Tahoma"/>
                      <w:b/>
                      <w:sz w:val="18"/>
                    </w:rPr>
                    <w:t xml:space="preserve">Standard Pass </w:t>
                  </w:r>
                </w:p>
              </w:tc>
              <w:tc>
                <w:tcPr>
                  <w:tcW w:w="1334"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4921828" w14:textId="77777777" w:rsidR="00F842D2" w:rsidRDefault="00F842D2" w:rsidP="00F842D2">
                  <w:pPr>
                    <w:spacing w:after="0" w:line="256" w:lineRule="auto"/>
                    <w:ind w:left="1"/>
                  </w:pPr>
                  <w:r>
                    <w:rPr>
                      <w:rFonts w:ascii="Tahoma" w:eastAsia="Tahoma" w:hAnsi="Tahoma" w:cs="Tahoma"/>
                      <w:b/>
                      <w:sz w:val="18"/>
                    </w:rPr>
                    <w:t xml:space="preserve">Strong Pass </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53B5B3E3" w14:textId="77777777" w:rsidR="00F842D2" w:rsidRDefault="00F842D2" w:rsidP="00F842D2">
                  <w:pPr>
                    <w:spacing w:after="0" w:line="256" w:lineRule="auto"/>
                    <w:ind w:left="1"/>
                  </w:pPr>
                  <w:r>
                    <w:rPr>
                      <w:rFonts w:ascii="Tahoma" w:eastAsia="Tahoma" w:hAnsi="Tahoma" w:cs="Tahoma"/>
                      <w:b/>
                      <w:sz w:val="18"/>
                    </w:rPr>
                    <w:t xml:space="preserve">Progress 8 </w:t>
                  </w: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7CC2EEBE" w14:textId="77777777" w:rsidR="00F842D2" w:rsidRDefault="00F842D2" w:rsidP="00F842D2">
                  <w:pPr>
                    <w:spacing w:after="0" w:line="256" w:lineRule="auto"/>
                    <w:ind w:left="1"/>
                  </w:pPr>
                  <w:r>
                    <w:rPr>
                      <w:rFonts w:ascii="Tahoma" w:eastAsia="Tahoma" w:hAnsi="Tahoma" w:cs="Tahoma"/>
                      <w:b/>
                      <w:sz w:val="18"/>
                    </w:rPr>
                    <w:t xml:space="preserve">Attainment 8 </w:t>
                  </w:r>
                </w:p>
              </w:tc>
            </w:tr>
            <w:tr w:rsidR="00F842D2" w14:paraId="7DEDE500" w14:textId="77777777" w:rsidTr="00F842D2">
              <w:trPr>
                <w:trHeight w:val="307"/>
              </w:trPr>
              <w:tc>
                <w:tcPr>
                  <w:tcW w:w="3329" w:type="dxa"/>
                  <w:tcBorders>
                    <w:top w:val="single" w:sz="4" w:space="0" w:color="000000"/>
                    <w:left w:val="single" w:sz="4" w:space="0" w:color="000000"/>
                    <w:bottom w:val="single" w:sz="4" w:space="0" w:color="000000"/>
                    <w:right w:val="single" w:sz="4" w:space="0" w:color="000000"/>
                  </w:tcBorders>
                  <w:shd w:val="clear" w:color="auto" w:fill="FFF2CC"/>
                  <w:hideMark/>
                </w:tcPr>
                <w:p w14:paraId="0FFF4B58" w14:textId="77777777" w:rsidR="00F842D2" w:rsidRDefault="00F842D2" w:rsidP="00F842D2">
                  <w:pPr>
                    <w:spacing w:after="0" w:line="256" w:lineRule="auto"/>
                  </w:pPr>
                  <w:r>
                    <w:rPr>
                      <w:rFonts w:ascii="Tahoma" w:eastAsia="Tahoma" w:hAnsi="Tahoma" w:cs="Tahoma"/>
                      <w:sz w:val="18"/>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FFF2CC"/>
                  <w:hideMark/>
                </w:tcPr>
                <w:p w14:paraId="4FFA1FAC" w14:textId="77777777" w:rsidR="00F842D2" w:rsidRDefault="00F842D2" w:rsidP="00F842D2">
                  <w:pPr>
                    <w:spacing w:after="0" w:line="256" w:lineRule="auto"/>
                    <w:ind w:left="1"/>
                  </w:pPr>
                  <w:r>
                    <w:rPr>
                      <w:rFonts w:ascii="Tahoma" w:eastAsia="Tahoma" w:hAnsi="Tahoma" w:cs="Tahoma"/>
                      <w:b/>
                      <w:sz w:val="18"/>
                    </w:rPr>
                    <w:t>Pupils</w:t>
                  </w:r>
                  <w:r>
                    <w:rPr>
                      <w:rFonts w:ascii="Tahoma" w:eastAsia="Tahoma" w:hAnsi="Tahoma" w:cs="Tahoma"/>
                      <w:sz w:val="18"/>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FFF2CC"/>
                  <w:hideMark/>
                </w:tcPr>
                <w:p w14:paraId="499DE5DF" w14:textId="77777777" w:rsidR="00F842D2" w:rsidRDefault="00F842D2" w:rsidP="00F842D2">
                  <w:pPr>
                    <w:spacing w:after="0" w:line="256" w:lineRule="auto"/>
                    <w:ind w:left="1"/>
                  </w:pPr>
                  <w:r>
                    <w:rPr>
                      <w:rFonts w:ascii="Tahoma" w:eastAsia="Tahoma" w:hAnsi="Tahoma" w:cs="Tahoma"/>
                      <w:b/>
                      <w:sz w:val="18"/>
                    </w:rPr>
                    <w:t xml:space="preserve">% 4+ EM </w:t>
                  </w:r>
                </w:p>
              </w:tc>
              <w:tc>
                <w:tcPr>
                  <w:tcW w:w="1334" w:type="dxa"/>
                  <w:tcBorders>
                    <w:top w:val="single" w:sz="4" w:space="0" w:color="000000"/>
                    <w:left w:val="single" w:sz="4" w:space="0" w:color="000000"/>
                    <w:bottom w:val="single" w:sz="4" w:space="0" w:color="000000"/>
                    <w:right w:val="single" w:sz="4" w:space="0" w:color="000000"/>
                  </w:tcBorders>
                  <w:shd w:val="clear" w:color="auto" w:fill="FFF2CC"/>
                  <w:hideMark/>
                </w:tcPr>
                <w:p w14:paraId="4988746D" w14:textId="77777777" w:rsidR="00F842D2" w:rsidRDefault="00F842D2" w:rsidP="00F842D2">
                  <w:pPr>
                    <w:spacing w:after="0" w:line="256" w:lineRule="auto"/>
                    <w:ind w:left="1"/>
                  </w:pPr>
                  <w:r>
                    <w:rPr>
                      <w:rFonts w:ascii="Tahoma" w:eastAsia="Tahoma" w:hAnsi="Tahoma" w:cs="Tahoma"/>
                      <w:b/>
                      <w:sz w:val="18"/>
                    </w:rPr>
                    <w:t xml:space="preserve">% 5+EM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E76054" w14:textId="77777777" w:rsidR="00F842D2" w:rsidRDefault="00F842D2" w:rsidP="00F842D2">
                  <w:pPr>
                    <w:spacing w:after="0" w:line="240" w:lineRule="auto"/>
                    <w:rPr>
                      <w:rFonts w:ascii="Calibri" w:eastAsia="Calibri" w:hAnsi="Calibri" w:cs="Calibri"/>
                      <w:color w:val="00000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672B1D" w14:textId="77777777" w:rsidR="00F842D2" w:rsidRDefault="00F842D2" w:rsidP="00F842D2">
                  <w:pPr>
                    <w:spacing w:after="0" w:line="240" w:lineRule="auto"/>
                    <w:rPr>
                      <w:rFonts w:ascii="Calibri" w:eastAsia="Calibri" w:hAnsi="Calibri" w:cs="Calibri"/>
                      <w:color w:val="000000"/>
                      <w:szCs w:val="22"/>
                    </w:rPr>
                  </w:pPr>
                </w:p>
              </w:tc>
            </w:tr>
            <w:tr w:rsidR="00F842D2" w14:paraId="7419F422" w14:textId="77777777" w:rsidTr="00F842D2">
              <w:trPr>
                <w:trHeight w:val="304"/>
              </w:trPr>
              <w:tc>
                <w:tcPr>
                  <w:tcW w:w="3329" w:type="dxa"/>
                  <w:tcBorders>
                    <w:top w:val="single" w:sz="4" w:space="0" w:color="000000"/>
                    <w:left w:val="single" w:sz="4" w:space="0" w:color="000000"/>
                    <w:bottom w:val="single" w:sz="4" w:space="0" w:color="000000"/>
                    <w:right w:val="single" w:sz="4" w:space="0" w:color="000000"/>
                  </w:tcBorders>
                  <w:shd w:val="clear" w:color="auto" w:fill="FFF2CC"/>
                  <w:hideMark/>
                </w:tcPr>
                <w:p w14:paraId="2A773FAA" w14:textId="77777777" w:rsidR="00F842D2" w:rsidRDefault="00F842D2" w:rsidP="00F842D2">
                  <w:pPr>
                    <w:spacing w:after="0" w:line="256" w:lineRule="auto"/>
                  </w:pPr>
                  <w:r>
                    <w:rPr>
                      <w:rFonts w:ascii="Tahoma" w:eastAsia="Tahoma" w:hAnsi="Tahoma" w:cs="Tahoma"/>
                      <w:b/>
                      <w:sz w:val="18"/>
                    </w:rPr>
                    <w:t xml:space="preserve">2020-21 </w:t>
                  </w:r>
                </w:p>
              </w:tc>
              <w:tc>
                <w:tcPr>
                  <w:tcW w:w="982" w:type="dxa"/>
                  <w:tcBorders>
                    <w:top w:val="single" w:sz="4" w:space="0" w:color="000000"/>
                    <w:left w:val="single" w:sz="4" w:space="0" w:color="000000"/>
                    <w:bottom w:val="single" w:sz="4" w:space="0" w:color="000000"/>
                    <w:right w:val="single" w:sz="4" w:space="0" w:color="000000"/>
                  </w:tcBorders>
                  <w:shd w:val="clear" w:color="auto" w:fill="FFF2CC"/>
                  <w:hideMark/>
                </w:tcPr>
                <w:p w14:paraId="3BD2309A" w14:textId="77777777" w:rsidR="00F842D2" w:rsidRDefault="00F842D2" w:rsidP="00F842D2">
                  <w:pPr>
                    <w:spacing w:after="0" w:line="256" w:lineRule="auto"/>
                    <w:ind w:left="1"/>
                  </w:pPr>
                  <w:r>
                    <w:rPr>
                      <w:rFonts w:ascii="Tahoma" w:eastAsia="Tahoma" w:hAnsi="Tahoma" w:cs="Tahoma"/>
                      <w:b/>
                      <w:sz w:val="18"/>
                    </w:rPr>
                    <w:t xml:space="preserve">roll </w:t>
                  </w:r>
                </w:p>
              </w:tc>
              <w:tc>
                <w:tcPr>
                  <w:tcW w:w="1388" w:type="dxa"/>
                  <w:tcBorders>
                    <w:top w:val="single" w:sz="4" w:space="0" w:color="000000"/>
                    <w:left w:val="single" w:sz="4" w:space="0" w:color="000000"/>
                    <w:bottom w:val="single" w:sz="4" w:space="0" w:color="000000"/>
                    <w:right w:val="single" w:sz="4" w:space="0" w:color="000000"/>
                  </w:tcBorders>
                  <w:shd w:val="clear" w:color="auto" w:fill="FFF2CC"/>
                  <w:hideMark/>
                </w:tcPr>
                <w:p w14:paraId="099F679B" w14:textId="77777777" w:rsidR="00F842D2" w:rsidRDefault="00F842D2" w:rsidP="00F842D2">
                  <w:pPr>
                    <w:spacing w:after="0" w:line="256" w:lineRule="auto"/>
                    <w:ind w:left="1"/>
                  </w:pPr>
                  <w:r>
                    <w:rPr>
                      <w:rFonts w:ascii="Tahoma" w:eastAsia="Tahoma" w:hAnsi="Tahoma" w:cs="Tahoma"/>
                      <w:b/>
                      <w:sz w:val="18"/>
                    </w:rPr>
                    <w:t xml:space="preserve">% </w:t>
                  </w:r>
                </w:p>
              </w:tc>
              <w:tc>
                <w:tcPr>
                  <w:tcW w:w="1334" w:type="dxa"/>
                  <w:tcBorders>
                    <w:top w:val="single" w:sz="4" w:space="0" w:color="000000"/>
                    <w:left w:val="single" w:sz="4" w:space="0" w:color="000000"/>
                    <w:bottom w:val="single" w:sz="4" w:space="0" w:color="000000"/>
                    <w:right w:val="single" w:sz="4" w:space="0" w:color="000000"/>
                  </w:tcBorders>
                  <w:shd w:val="clear" w:color="auto" w:fill="FFF2CC"/>
                  <w:hideMark/>
                </w:tcPr>
                <w:p w14:paraId="435648C0" w14:textId="77777777" w:rsidR="00F842D2" w:rsidRDefault="00F842D2" w:rsidP="00F842D2">
                  <w:pPr>
                    <w:spacing w:after="0" w:line="256" w:lineRule="auto"/>
                    <w:ind w:left="1"/>
                  </w:pPr>
                  <w:r>
                    <w:rPr>
                      <w:rFonts w:ascii="Tahoma" w:eastAsia="Tahoma" w:hAnsi="Tahoma" w:cs="Tahoma"/>
                      <w:b/>
                      <w:sz w:val="18"/>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FFF2CC"/>
                  <w:hideMark/>
                </w:tcPr>
                <w:p w14:paraId="6031C45E" w14:textId="77777777" w:rsidR="00F842D2" w:rsidRDefault="00F842D2" w:rsidP="00F842D2">
                  <w:pPr>
                    <w:spacing w:after="0" w:line="256" w:lineRule="auto"/>
                    <w:ind w:left="1"/>
                  </w:pPr>
                  <w:r>
                    <w:rPr>
                      <w:rFonts w:ascii="Tahoma" w:eastAsia="Tahoma" w:hAnsi="Tahoma" w:cs="Tahoma"/>
                      <w:b/>
                      <w:sz w:val="18"/>
                    </w:rPr>
                    <w:t xml:space="preserve">P8 </w:t>
                  </w:r>
                </w:p>
              </w:tc>
              <w:tc>
                <w:tcPr>
                  <w:tcW w:w="1554" w:type="dxa"/>
                  <w:tcBorders>
                    <w:top w:val="single" w:sz="4" w:space="0" w:color="000000"/>
                    <w:left w:val="single" w:sz="4" w:space="0" w:color="000000"/>
                    <w:bottom w:val="single" w:sz="4" w:space="0" w:color="000000"/>
                    <w:right w:val="single" w:sz="4" w:space="0" w:color="000000"/>
                  </w:tcBorders>
                  <w:shd w:val="clear" w:color="auto" w:fill="FFF2CC"/>
                  <w:hideMark/>
                </w:tcPr>
                <w:p w14:paraId="70472316" w14:textId="77777777" w:rsidR="00F842D2" w:rsidRDefault="00F842D2" w:rsidP="00F842D2">
                  <w:pPr>
                    <w:spacing w:after="0" w:line="256" w:lineRule="auto"/>
                    <w:ind w:left="1"/>
                  </w:pPr>
                  <w:r>
                    <w:rPr>
                      <w:rFonts w:ascii="Tahoma" w:eastAsia="Tahoma" w:hAnsi="Tahoma" w:cs="Tahoma"/>
                      <w:b/>
                      <w:sz w:val="18"/>
                    </w:rPr>
                    <w:t xml:space="preserve">A8 </w:t>
                  </w:r>
                </w:p>
              </w:tc>
            </w:tr>
            <w:tr w:rsidR="00F842D2" w14:paraId="57E87C95" w14:textId="77777777" w:rsidTr="00F842D2">
              <w:trPr>
                <w:trHeight w:val="414"/>
              </w:trPr>
              <w:tc>
                <w:tcPr>
                  <w:tcW w:w="3329" w:type="dxa"/>
                  <w:tcBorders>
                    <w:top w:val="single" w:sz="4" w:space="0" w:color="000000"/>
                    <w:left w:val="single" w:sz="4" w:space="0" w:color="000000"/>
                    <w:bottom w:val="single" w:sz="4" w:space="0" w:color="000000"/>
                    <w:right w:val="single" w:sz="4" w:space="0" w:color="000000"/>
                  </w:tcBorders>
                  <w:hideMark/>
                </w:tcPr>
                <w:p w14:paraId="22B7A0FB" w14:textId="77777777" w:rsidR="00F842D2" w:rsidRDefault="00F842D2" w:rsidP="00F842D2">
                  <w:pPr>
                    <w:spacing w:after="0" w:line="256" w:lineRule="auto"/>
                  </w:pPr>
                  <w:r>
                    <w:rPr>
                      <w:rFonts w:ascii="Tahoma" w:eastAsia="Tahoma" w:hAnsi="Tahoma" w:cs="Tahoma"/>
                      <w:b/>
                      <w:sz w:val="18"/>
                    </w:rPr>
                    <w:t xml:space="preserve">Pupil Premium </w:t>
                  </w:r>
                </w:p>
              </w:tc>
              <w:tc>
                <w:tcPr>
                  <w:tcW w:w="982" w:type="dxa"/>
                  <w:tcBorders>
                    <w:top w:val="single" w:sz="4" w:space="0" w:color="000000"/>
                    <w:left w:val="single" w:sz="4" w:space="0" w:color="000000"/>
                    <w:bottom w:val="single" w:sz="4" w:space="0" w:color="000000"/>
                    <w:right w:val="single" w:sz="4" w:space="0" w:color="000000"/>
                  </w:tcBorders>
                  <w:hideMark/>
                </w:tcPr>
                <w:p w14:paraId="79A794EC" w14:textId="77777777" w:rsidR="00F842D2" w:rsidRDefault="00F842D2" w:rsidP="00F842D2">
                  <w:pPr>
                    <w:spacing w:after="0" w:line="256" w:lineRule="auto"/>
                    <w:ind w:left="1"/>
                  </w:pPr>
                  <w:r>
                    <w:rPr>
                      <w:rFonts w:ascii="Tahoma" w:eastAsia="Tahoma" w:hAnsi="Tahoma" w:cs="Tahoma"/>
                      <w:sz w:val="18"/>
                    </w:rPr>
                    <w:t xml:space="preserve">70 </w:t>
                  </w:r>
                </w:p>
              </w:tc>
              <w:tc>
                <w:tcPr>
                  <w:tcW w:w="1388" w:type="dxa"/>
                  <w:tcBorders>
                    <w:top w:val="single" w:sz="4" w:space="0" w:color="000000"/>
                    <w:left w:val="single" w:sz="4" w:space="0" w:color="000000"/>
                    <w:bottom w:val="single" w:sz="4" w:space="0" w:color="000000"/>
                    <w:right w:val="single" w:sz="4" w:space="0" w:color="000000"/>
                  </w:tcBorders>
                  <w:hideMark/>
                </w:tcPr>
                <w:p w14:paraId="2D091679" w14:textId="6CE94153" w:rsidR="00F842D2" w:rsidRDefault="00F842D2" w:rsidP="00F842D2">
                  <w:pPr>
                    <w:spacing w:after="0" w:line="256" w:lineRule="auto"/>
                    <w:ind w:left="1"/>
                  </w:pPr>
                  <w:r>
                    <w:rPr>
                      <w:rFonts w:ascii="Tahoma" w:eastAsia="Tahoma" w:hAnsi="Tahoma" w:cs="Tahoma"/>
                      <w:sz w:val="18"/>
                    </w:rPr>
                    <w:t xml:space="preserve">48.57 (41) </w:t>
                  </w:r>
                </w:p>
              </w:tc>
              <w:tc>
                <w:tcPr>
                  <w:tcW w:w="1334" w:type="dxa"/>
                  <w:tcBorders>
                    <w:top w:val="single" w:sz="4" w:space="0" w:color="000000"/>
                    <w:left w:val="single" w:sz="4" w:space="0" w:color="000000"/>
                    <w:bottom w:val="single" w:sz="4" w:space="0" w:color="000000"/>
                    <w:right w:val="single" w:sz="4" w:space="0" w:color="000000"/>
                  </w:tcBorders>
                  <w:hideMark/>
                </w:tcPr>
                <w:p w14:paraId="50AFF9CC" w14:textId="1ADB5F71" w:rsidR="00F842D2" w:rsidRDefault="00F842D2" w:rsidP="00F842D2">
                  <w:pPr>
                    <w:spacing w:after="0" w:line="256" w:lineRule="auto"/>
                    <w:ind w:left="1"/>
                  </w:pPr>
                  <w:r>
                    <w:rPr>
                      <w:rFonts w:ascii="Tahoma" w:eastAsia="Tahoma" w:hAnsi="Tahoma" w:cs="Tahoma"/>
                      <w:sz w:val="18"/>
                    </w:rPr>
                    <w:t xml:space="preserve">27.14 (25) </w:t>
                  </w:r>
                </w:p>
              </w:tc>
              <w:tc>
                <w:tcPr>
                  <w:tcW w:w="1385" w:type="dxa"/>
                  <w:tcBorders>
                    <w:top w:val="single" w:sz="4" w:space="0" w:color="000000"/>
                    <w:left w:val="single" w:sz="4" w:space="0" w:color="000000"/>
                    <w:bottom w:val="single" w:sz="4" w:space="0" w:color="000000"/>
                    <w:right w:val="single" w:sz="4" w:space="0" w:color="000000"/>
                  </w:tcBorders>
                  <w:hideMark/>
                </w:tcPr>
                <w:p w14:paraId="0A0ED8C9" w14:textId="4B7BEDBC" w:rsidR="00F842D2" w:rsidRDefault="00F842D2" w:rsidP="00F842D2">
                  <w:pPr>
                    <w:spacing w:after="0" w:line="256" w:lineRule="auto"/>
                    <w:ind w:left="1"/>
                  </w:pPr>
                  <w:r>
                    <w:rPr>
                      <w:rFonts w:ascii="Tahoma" w:eastAsia="Tahoma" w:hAnsi="Tahoma" w:cs="Tahoma"/>
                      <w:sz w:val="18"/>
                    </w:rPr>
                    <w:t xml:space="preserve">0.29 (-0.7) </w:t>
                  </w:r>
                </w:p>
              </w:tc>
              <w:tc>
                <w:tcPr>
                  <w:tcW w:w="1554" w:type="dxa"/>
                  <w:tcBorders>
                    <w:top w:val="single" w:sz="4" w:space="0" w:color="000000"/>
                    <w:left w:val="single" w:sz="4" w:space="0" w:color="000000"/>
                    <w:bottom w:val="single" w:sz="4" w:space="0" w:color="000000"/>
                    <w:right w:val="single" w:sz="4" w:space="0" w:color="000000"/>
                  </w:tcBorders>
                  <w:hideMark/>
                </w:tcPr>
                <w:p w14:paraId="769F4A0B" w14:textId="6C5C2461" w:rsidR="00F842D2" w:rsidRDefault="00F842D2" w:rsidP="00F842D2">
                  <w:pPr>
                    <w:spacing w:after="0" w:line="256" w:lineRule="auto"/>
                    <w:ind w:left="1"/>
                  </w:pPr>
                  <w:r>
                    <w:rPr>
                      <w:rFonts w:ascii="Tahoma" w:eastAsia="Tahoma" w:hAnsi="Tahoma" w:cs="Tahoma"/>
                      <w:sz w:val="18"/>
                    </w:rPr>
                    <w:t xml:space="preserve">42.7 (34) </w:t>
                  </w:r>
                </w:p>
              </w:tc>
            </w:tr>
            <w:tr w:rsidR="00F842D2" w14:paraId="240D6383" w14:textId="77777777" w:rsidTr="00F842D2">
              <w:trPr>
                <w:trHeight w:val="414"/>
              </w:trPr>
              <w:tc>
                <w:tcPr>
                  <w:tcW w:w="3329" w:type="dxa"/>
                  <w:tcBorders>
                    <w:top w:val="single" w:sz="4" w:space="0" w:color="000000"/>
                    <w:left w:val="single" w:sz="4" w:space="0" w:color="000000"/>
                    <w:bottom w:val="single" w:sz="4" w:space="0" w:color="000000"/>
                    <w:right w:val="single" w:sz="4" w:space="0" w:color="000000"/>
                  </w:tcBorders>
                  <w:hideMark/>
                </w:tcPr>
                <w:p w14:paraId="0D005240" w14:textId="77777777" w:rsidR="00F842D2" w:rsidRDefault="00F842D2" w:rsidP="00F842D2">
                  <w:pPr>
                    <w:spacing w:after="0" w:line="256" w:lineRule="auto"/>
                  </w:pPr>
                  <w:proofErr w:type="gramStart"/>
                  <w:r>
                    <w:rPr>
                      <w:rFonts w:ascii="Tahoma" w:eastAsia="Tahoma" w:hAnsi="Tahoma" w:cs="Tahoma"/>
                      <w:b/>
                      <w:sz w:val="18"/>
                    </w:rPr>
                    <w:t>Non Pupil</w:t>
                  </w:r>
                  <w:proofErr w:type="gramEnd"/>
                  <w:r>
                    <w:rPr>
                      <w:rFonts w:ascii="Tahoma" w:eastAsia="Tahoma" w:hAnsi="Tahoma" w:cs="Tahoma"/>
                      <w:b/>
                      <w:sz w:val="18"/>
                    </w:rPr>
                    <w:t xml:space="preserve"> Premium </w:t>
                  </w:r>
                </w:p>
              </w:tc>
              <w:tc>
                <w:tcPr>
                  <w:tcW w:w="982" w:type="dxa"/>
                  <w:tcBorders>
                    <w:top w:val="single" w:sz="4" w:space="0" w:color="000000"/>
                    <w:left w:val="single" w:sz="4" w:space="0" w:color="000000"/>
                    <w:bottom w:val="single" w:sz="4" w:space="0" w:color="000000"/>
                    <w:right w:val="single" w:sz="4" w:space="0" w:color="000000"/>
                  </w:tcBorders>
                  <w:hideMark/>
                </w:tcPr>
                <w:p w14:paraId="606006DD" w14:textId="77777777" w:rsidR="00F842D2" w:rsidRDefault="00F842D2" w:rsidP="00F842D2">
                  <w:pPr>
                    <w:spacing w:after="0" w:line="256" w:lineRule="auto"/>
                    <w:ind w:left="1"/>
                  </w:pPr>
                  <w:r>
                    <w:rPr>
                      <w:rFonts w:ascii="Tahoma" w:eastAsia="Tahoma" w:hAnsi="Tahoma" w:cs="Tahoma"/>
                      <w:sz w:val="18"/>
                    </w:rPr>
                    <w:t xml:space="preserve">154 </w:t>
                  </w:r>
                </w:p>
              </w:tc>
              <w:tc>
                <w:tcPr>
                  <w:tcW w:w="1388" w:type="dxa"/>
                  <w:tcBorders>
                    <w:top w:val="single" w:sz="4" w:space="0" w:color="000000"/>
                    <w:left w:val="single" w:sz="4" w:space="0" w:color="000000"/>
                    <w:bottom w:val="single" w:sz="4" w:space="0" w:color="000000"/>
                    <w:right w:val="single" w:sz="4" w:space="0" w:color="000000"/>
                  </w:tcBorders>
                  <w:hideMark/>
                </w:tcPr>
                <w:p w14:paraId="5EF42D2A" w14:textId="2E48879A" w:rsidR="00F842D2" w:rsidRDefault="00F842D2" w:rsidP="00F842D2">
                  <w:pPr>
                    <w:spacing w:after="0" w:line="256" w:lineRule="auto"/>
                    <w:ind w:left="1"/>
                  </w:pPr>
                  <w:r>
                    <w:rPr>
                      <w:rFonts w:ascii="Tahoma" w:eastAsia="Tahoma" w:hAnsi="Tahoma" w:cs="Tahoma"/>
                      <w:sz w:val="18"/>
                    </w:rPr>
                    <w:t xml:space="preserve">59.09 (48) </w:t>
                  </w:r>
                </w:p>
              </w:tc>
              <w:tc>
                <w:tcPr>
                  <w:tcW w:w="1334" w:type="dxa"/>
                  <w:tcBorders>
                    <w:top w:val="single" w:sz="4" w:space="0" w:color="000000"/>
                    <w:left w:val="single" w:sz="4" w:space="0" w:color="000000"/>
                    <w:bottom w:val="single" w:sz="4" w:space="0" w:color="000000"/>
                    <w:right w:val="single" w:sz="4" w:space="0" w:color="000000"/>
                  </w:tcBorders>
                  <w:hideMark/>
                </w:tcPr>
                <w:p w14:paraId="58759F24" w14:textId="35EBB341" w:rsidR="00F842D2" w:rsidRDefault="00F842D2" w:rsidP="00F842D2">
                  <w:pPr>
                    <w:spacing w:after="0" w:line="256" w:lineRule="auto"/>
                    <w:ind w:left="1"/>
                  </w:pPr>
                  <w:r>
                    <w:rPr>
                      <w:rFonts w:ascii="Tahoma" w:eastAsia="Tahoma" w:hAnsi="Tahoma" w:cs="Tahoma"/>
                      <w:sz w:val="18"/>
                    </w:rPr>
                    <w:t xml:space="preserve">40.26 (22) </w:t>
                  </w:r>
                </w:p>
              </w:tc>
              <w:tc>
                <w:tcPr>
                  <w:tcW w:w="1385" w:type="dxa"/>
                  <w:tcBorders>
                    <w:top w:val="single" w:sz="4" w:space="0" w:color="000000"/>
                    <w:left w:val="single" w:sz="4" w:space="0" w:color="000000"/>
                    <w:bottom w:val="single" w:sz="4" w:space="0" w:color="000000"/>
                    <w:right w:val="single" w:sz="4" w:space="0" w:color="000000"/>
                  </w:tcBorders>
                  <w:hideMark/>
                </w:tcPr>
                <w:p w14:paraId="3366FDB9" w14:textId="21041D7B" w:rsidR="00F842D2" w:rsidRDefault="00F842D2" w:rsidP="00F842D2">
                  <w:pPr>
                    <w:spacing w:after="0" w:line="256" w:lineRule="auto"/>
                    <w:ind w:left="1"/>
                  </w:pPr>
                  <w:r>
                    <w:rPr>
                      <w:rFonts w:ascii="Tahoma" w:eastAsia="Tahoma" w:hAnsi="Tahoma" w:cs="Tahoma"/>
                      <w:sz w:val="18"/>
                    </w:rPr>
                    <w:t xml:space="preserve">0.6 (0.14) </w:t>
                  </w:r>
                </w:p>
              </w:tc>
              <w:tc>
                <w:tcPr>
                  <w:tcW w:w="1554" w:type="dxa"/>
                  <w:tcBorders>
                    <w:top w:val="single" w:sz="4" w:space="0" w:color="000000"/>
                    <w:left w:val="single" w:sz="4" w:space="0" w:color="000000"/>
                    <w:bottom w:val="single" w:sz="4" w:space="0" w:color="000000"/>
                    <w:right w:val="single" w:sz="4" w:space="0" w:color="000000"/>
                  </w:tcBorders>
                  <w:hideMark/>
                </w:tcPr>
                <w:p w14:paraId="11206D4A" w14:textId="25EC8A56" w:rsidR="00F842D2" w:rsidRDefault="00F842D2" w:rsidP="00F842D2">
                  <w:pPr>
                    <w:spacing w:after="0" w:line="256" w:lineRule="auto"/>
                    <w:ind w:left="1"/>
                  </w:pPr>
                  <w:r>
                    <w:rPr>
                      <w:rFonts w:ascii="Tahoma" w:eastAsia="Tahoma" w:hAnsi="Tahoma" w:cs="Tahoma"/>
                      <w:sz w:val="18"/>
                    </w:rPr>
                    <w:t xml:space="preserve">48.47 (39) </w:t>
                  </w:r>
                </w:p>
              </w:tc>
            </w:tr>
            <w:tr w:rsidR="00F842D2" w14:paraId="70D211CC" w14:textId="77777777" w:rsidTr="00F842D2">
              <w:trPr>
                <w:trHeight w:val="408"/>
              </w:trPr>
              <w:tc>
                <w:tcPr>
                  <w:tcW w:w="3329" w:type="dxa"/>
                  <w:tcBorders>
                    <w:top w:val="single" w:sz="4" w:space="0" w:color="000000"/>
                    <w:left w:val="single" w:sz="4" w:space="0" w:color="000000"/>
                    <w:bottom w:val="single" w:sz="4" w:space="0" w:color="000000"/>
                    <w:right w:val="single" w:sz="4" w:space="0" w:color="000000"/>
                  </w:tcBorders>
                  <w:shd w:val="clear" w:color="auto" w:fill="FFF2CC"/>
                  <w:hideMark/>
                </w:tcPr>
                <w:p w14:paraId="30AF51D6" w14:textId="77777777" w:rsidR="00F842D2" w:rsidRDefault="00F842D2" w:rsidP="00F842D2">
                  <w:pPr>
                    <w:spacing w:after="0" w:line="256" w:lineRule="auto"/>
                  </w:pPr>
                  <w:r>
                    <w:rPr>
                      <w:rFonts w:ascii="Tahoma" w:eastAsia="Tahoma" w:hAnsi="Tahoma" w:cs="Tahoma"/>
                      <w:b/>
                      <w:sz w:val="18"/>
                    </w:rPr>
                    <w:t xml:space="preserve">Pupil Premium Gap </w:t>
                  </w:r>
                </w:p>
              </w:tc>
              <w:tc>
                <w:tcPr>
                  <w:tcW w:w="982" w:type="dxa"/>
                  <w:tcBorders>
                    <w:top w:val="single" w:sz="4" w:space="0" w:color="000000"/>
                    <w:left w:val="single" w:sz="4" w:space="0" w:color="000000"/>
                    <w:bottom w:val="single" w:sz="4" w:space="0" w:color="000000"/>
                    <w:right w:val="single" w:sz="4" w:space="0" w:color="000000"/>
                  </w:tcBorders>
                  <w:shd w:val="clear" w:color="auto" w:fill="FFF2CC"/>
                  <w:hideMark/>
                </w:tcPr>
                <w:p w14:paraId="50E34FE4" w14:textId="77777777" w:rsidR="00F842D2" w:rsidRDefault="00F842D2" w:rsidP="00F842D2">
                  <w:pPr>
                    <w:spacing w:after="0" w:line="256" w:lineRule="auto"/>
                    <w:ind w:left="1"/>
                  </w:pPr>
                  <w:r>
                    <w:rPr>
                      <w:rFonts w:ascii="Tahoma" w:eastAsia="Tahoma" w:hAnsi="Tahoma" w:cs="Tahoma"/>
                      <w:sz w:val="18"/>
                    </w:rPr>
                    <w:t xml:space="preserve">-84 </w:t>
                  </w:r>
                </w:p>
              </w:tc>
              <w:tc>
                <w:tcPr>
                  <w:tcW w:w="1388" w:type="dxa"/>
                  <w:tcBorders>
                    <w:top w:val="single" w:sz="4" w:space="0" w:color="000000"/>
                    <w:left w:val="single" w:sz="4" w:space="0" w:color="000000"/>
                    <w:bottom w:val="single" w:sz="4" w:space="0" w:color="000000"/>
                    <w:right w:val="single" w:sz="4" w:space="0" w:color="000000"/>
                  </w:tcBorders>
                  <w:shd w:val="clear" w:color="auto" w:fill="FFF2CC"/>
                  <w:hideMark/>
                </w:tcPr>
                <w:p w14:paraId="3B7CACCE" w14:textId="2F86E142" w:rsidR="00F842D2" w:rsidRDefault="00F842D2" w:rsidP="00F842D2">
                  <w:pPr>
                    <w:spacing w:after="0" w:line="256" w:lineRule="auto"/>
                    <w:ind w:left="1"/>
                  </w:pPr>
                  <w:r>
                    <w:rPr>
                      <w:rFonts w:ascii="Tahoma" w:eastAsia="Tahoma" w:hAnsi="Tahoma" w:cs="Tahoma"/>
                      <w:sz w:val="18"/>
                    </w:rPr>
                    <w:t xml:space="preserve">10.52 (7) </w:t>
                  </w:r>
                </w:p>
              </w:tc>
              <w:tc>
                <w:tcPr>
                  <w:tcW w:w="1334" w:type="dxa"/>
                  <w:tcBorders>
                    <w:top w:val="single" w:sz="4" w:space="0" w:color="000000"/>
                    <w:left w:val="single" w:sz="4" w:space="0" w:color="000000"/>
                    <w:bottom w:val="single" w:sz="4" w:space="0" w:color="000000"/>
                    <w:right w:val="single" w:sz="4" w:space="0" w:color="000000"/>
                  </w:tcBorders>
                  <w:shd w:val="clear" w:color="auto" w:fill="FFF2CC"/>
                  <w:hideMark/>
                </w:tcPr>
                <w:p w14:paraId="38FE1F8C" w14:textId="647C714C" w:rsidR="00F842D2" w:rsidRDefault="00F842D2" w:rsidP="00F842D2">
                  <w:pPr>
                    <w:spacing w:after="0" w:line="256" w:lineRule="auto"/>
                    <w:ind w:left="1"/>
                  </w:pPr>
                  <w:r>
                    <w:rPr>
                      <w:rFonts w:ascii="Tahoma" w:eastAsia="Tahoma" w:hAnsi="Tahoma" w:cs="Tahoma"/>
                      <w:sz w:val="18"/>
                    </w:rPr>
                    <w:t xml:space="preserve">13.12 (3) </w:t>
                  </w:r>
                </w:p>
              </w:tc>
              <w:tc>
                <w:tcPr>
                  <w:tcW w:w="1385" w:type="dxa"/>
                  <w:tcBorders>
                    <w:top w:val="single" w:sz="4" w:space="0" w:color="000000"/>
                    <w:left w:val="single" w:sz="4" w:space="0" w:color="000000"/>
                    <w:bottom w:val="single" w:sz="4" w:space="0" w:color="000000"/>
                    <w:right w:val="single" w:sz="4" w:space="0" w:color="000000"/>
                  </w:tcBorders>
                  <w:shd w:val="clear" w:color="auto" w:fill="FFF2CC"/>
                  <w:hideMark/>
                </w:tcPr>
                <w:p w14:paraId="080D06FE" w14:textId="77777777" w:rsidR="00F842D2" w:rsidRDefault="00F842D2" w:rsidP="00F842D2">
                  <w:pPr>
                    <w:spacing w:after="0" w:line="256" w:lineRule="auto"/>
                    <w:ind w:left="1"/>
                  </w:pPr>
                  <w:r>
                    <w:rPr>
                      <w:rFonts w:ascii="Tahoma" w:eastAsia="Tahoma" w:hAnsi="Tahoma" w:cs="Tahoma"/>
                      <w:sz w:val="18"/>
                    </w:rPr>
                    <w:t xml:space="preserve">-0.31 </w:t>
                  </w:r>
                </w:p>
              </w:tc>
              <w:tc>
                <w:tcPr>
                  <w:tcW w:w="1554" w:type="dxa"/>
                  <w:tcBorders>
                    <w:top w:val="single" w:sz="4" w:space="0" w:color="000000"/>
                    <w:left w:val="single" w:sz="4" w:space="0" w:color="000000"/>
                    <w:bottom w:val="single" w:sz="4" w:space="0" w:color="000000"/>
                    <w:right w:val="single" w:sz="4" w:space="0" w:color="000000"/>
                  </w:tcBorders>
                  <w:shd w:val="clear" w:color="auto" w:fill="FFF2CC"/>
                  <w:hideMark/>
                </w:tcPr>
                <w:p w14:paraId="76D1FC89" w14:textId="7E83CAB2" w:rsidR="00F842D2" w:rsidRDefault="00F842D2" w:rsidP="00F842D2">
                  <w:pPr>
                    <w:spacing w:after="0" w:line="256" w:lineRule="auto"/>
                    <w:ind w:left="1"/>
                  </w:pPr>
                  <w:r>
                    <w:rPr>
                      <w:rFonts w:ascii="Tahoma" w:eastAsia="Tahoma" w:hAnsi="Tahoma" w:cs="Tahoma"/>
                      <w:sz w:val="18"/>
                    </w:rPr>
                    <w:t xml:space="preserve">-5.77 (4.99) </w:t>
                  </w:r>
                </w:p>
              </w:tc>
            </w:tr>
            <w:tr w:rsidR="00F842D2" w14:paraId="0A9ED448" w14:textId="77777777" w:rsidTr="00F842D2">
              <w:trPr>
                <w:trHeight w:val="414"/>
              </w:trPr>
              <w:tc>
                <w:tcPr>
                  <w:tcW w:w="3329" w:type="dxa"/>
                  <w:tcBorders>
                    <w:top w:val="single" w:sz="4" w:space="0" w:color="000000"/>
                    <w:left w:val="single" w:sz="4" w:space="0" w:color="000000"/>
                    <w:bottom w:val="single" w:sz="4" w:space="0" w:color="000000"/>
                    <w:right w:val="single" w:sz="4" w:space="0" w:color="000000"/>
                  </w:tcBorders>
                  <w:hideMark/>
                </w:tcPr>
                <w:p w14:paraId="4601AD07" w14:textId="77777777" w:rsidR="00F842D2" w:rsidRDefault="00F842D2" w:rsidP="00F842D2">
                  <w:pPr>
                    <w:spacing w:after="0" w:line="256" w:lineRule="auto"/>
                  </w:pPr>
                  <w:r>
                    <w:rPr>
                      <w:rFonts w:ascii="Tahoma" w:eastAsia="Tahoma" w:hAnsi="Tahoma" w:cs="Tahoma"/>
                      <w:b/>
                      <w:sz w:val="18"/>
                    </w:rPr>
                    <w:t xml:space="preserve">WENG </w:t>
                  </w:r>
                </w:p>
              </w:tc>
              <w:tc>
                <w:tcPr>
                  <w:tcW w:w="982" w:type="dxa"/>
                  <w:tcBorders>
                    <w:top w:val="single" w:sz="4" w:space="0" w:color="000000"/>
                    <w:left w:val="single" w:sz="4" w:space="0" w:color="000000"/>
                    <w:bottom w:val="single" w:sz="4" w:space="0" w:color="000000"/>
                    <w:right w:val="single" w:sz="4" w:space="0" w:color="000000"/>
                  </w:tcBorders>
                  <w:hideMark/>
                </w:tcPr>
                <w:p w14:paraId="4957D15D" w14:textId="77777777" w:rsidR="00F842D2" w:rsidRDefault="00F842D2" w:rsidP="00F842D2">
                  <w:pPr>
                    <w:spacing w:after="0" w:line="256" w:lineRule="auto"/>
                    <w:ind w:left="1"/>
                  </w:pPr>
                  <w:r>
                    <w:rPr>
                      <w:rFonts w:ascii="Tahoma" w:eastAsia="Tahoma" w:hAnsi="Tahoma" w:cs="Tahoma"/>
                      <w:sz w:val="18"/>
                    </w:rPr>
                    <w:t xml:space="preserve">24 </w:t>
                  </w:r>
                </w:p>
              </w:tc>
              <w:tc>
                <w:tcPr>
                  <w:tcW w:w="1388" w:type="dxa"/>
                  <w:tcBorders>
                    <w:top w:val="single" w:sz="4" w:space="0" w:color="000000"/>
                    <w:left w:val="single" w:sz="4" w:space="0" w:color="000000"/>
                    <w:bottom w:val="single" w:sz="4" w:space="0" w:color="000000"/>
                    <w:right w:val="single" w:sz="4" w:space="0" w:color="000000"/>
                  </w:tcBorders>
                  <w:hideMark/>
                </w:tcPr>
                <w:p w14:paraId="4907C53C" w14:textId="15136606" w:rsidR="00F842D2" w:rsidRDefault="00F842D2" w:rsidP="00F842D2">
                  <w:pPr>
                    <w:spacing w:after="0" w:line="256" w:lineRule="auto"/>
                    <w:ind w:left="1"/>
                  </w:pPr>
                  <w:r>
                    <w:rPr>
                      <w:rFonts w:ascii="Tahoma" w:eastAsia="Tahoma" w:hAnsi="Tahoma" w:cs="Tahoma"/>
                      <w:sz w:val="18"/>
                    </w:rPr>
                    <w:t xml:space="preserve">25 (26) </w:t>
                  </w:r>
                </w:p>
              </w:tc>
              <w:tc>
                <w:tcPr>
                  <w:tcW w:w="1334" w:type="dxa"/>
                  <w:tcBorders>
                    <w:top w:val="single" w:sz="4" w:space="0" w:color="000000"/>
                    <w:left w:val="single" w:sz="4" w:space="0" w:color="000000"/>
                    <w:bottom w:val="single" w:sz="4" w:space="0" w:color="000000"/>
                    <w:right w:val="single" w:sz="4" w:space="0" w:color="000000"/>
                  </w:tcBorders>
                  <w:hideMark/>
                </w:tcPr>
                <w:p w14:paraId="4A267094" w14:textId="243DBFDC" w:rsidR="00F842D2" w:rsidRDefault="00F842D2" w:rsidP="00F842D2">
                  <w:pPr>
                    <w:spacing w:after="0" w:line="256" w:lineRule="auto"/>
                    <w:ind w:left="1"/>
                  </w:pPr>
                  <w:r>
                    <w:rPr>
                      <w:rFonts w:ascii="Tahoma" w:eastAsia="Tahoma" w:hAnsi="Tahoma" w:cs="Tahoma"/>
                      <w:sz w:val="18"/>
                    </w:rPr>
                    <w:t xml:space="preserve">12.5 (11) </w:t>
                  </w:r>
                </w:p>
              </w:tc>
              <w:tc>
                <w:tcPr>
                  <w:tcW w:w="1385" w:type="dxa"/>
                  <w:tcBorders>
                    <w:top w:val="single" w:sz="4" w:space="0" w:color="000000"/>
                    <w:left w:val="single" w:sz="4" w:space="0" w:color="000000"/>
                    <w:bottom w:val="single" w:sz="4" w:space="0" w:color="000000"/>
                    <w:right w:val="single" w:sz="4" w:space="0" w:color="000000"/>
                  </w:tcBorders>
                  <w:hideMark/>
                </w:tcPr>
                <w:p w14:paraId="3FB9B92E" w14:textId="6FF61FEE" w:rsidR="00F842D2" w:rsidRDefault="00F842D2" w:rsidP="00F842D2">
                  <w:pPr>
                    <w:spacing w:after="0" w:line="256" w:lineRule="auto"/>
                    <w:ind w:left="1"/>
                  </w:pPr>
                  <w:r>
                    <w:rPr>
                      <w:rFonts w:ascii="Tahoma" w:eastAsia="Tahoma" w:hAnsi="Tahoma" w:cs="Tahoma"/>
                      <w:sz w:val="18"/>
                    </w:rPr>
                    <w:t xml:space="preserve">-0.44 (-1.52) </w:t>
                  </w:r>
                </w:p>
              </w:tc>
              <w:tc>
                <w:tcPr>
                  <w:tcW w:w="1554" w:type="dxa"/>
                  <w:tcBorders>
                    <w:top w:val="single" w:sz="4" w:space="0" w:color="000000"/>
                    <w:left w:val="single" w:sz="4" w:space="0" w:color="000000"/>
                    <w:bottom w:val="single" w:sz="4" w:space="0" w:color="000000"/>
                    <w:right w:val="single" w:sz="4" w:space="0" w:color="000000"/>
                  </w:tcBorders>
                  <w:hideMark/>
                </w:tcPr>
                <w:p w14:paraId="5301E444" w14:textId="5033D277" w:rsidR="00F842D2" w:rsidRDefault="00F842D2" w:rsidP="00F842D2">
                  <w:pPr>
                    <w:spacing w:after="0" w:line="256" w:lineRule="auto"/>
                    <w:ind w:left="1"/>
                  </w:pPr>
                  <w:r>
                    <w:rPr>
                      <w:rFonts w:ascii="Tahoma" w:eastAsia="Tahoma" w:hAnsi="Tahoma" w:cs="Tahoma"/>
                      <w:sz w:val="18"/>
                    </w:rPr>
                    <w:t xml:space="preserve">33.46 (24.4) </w:t>
                  </w:r>
                </w:p>
              </w:tc>
            </w:tr>
            <w:tr w:rsidR="00F842D2" w14:paraId="1CC1C958" w14:textId="77777777" w:rsidTr="00F842D2">
              <w:trPr>
                <w:trHeight w:val="414"/>
              </w:trPr>
              <w:tc>
                <w:tcPr>
                  <w:tcW w:w="3329" w:type="dxa"/>
                  <w:tcBorders>
                    <w:top w:val="single" w:sz="4" w:space="0" w:color="000000"/>
                    <w:left w:val="single" w:sz="4" w:space="0" w:color="000000"/>
                    <w:bottom w:val="single" w:sz="4" w:space="0" w:color="000000"/>
                    <w:right w:val="single" w:sz="4" w:space="0" w:color="000000"/>
                  </w:tcBorders>
                  <w:hideMark/>
                </w:tcPr>
                <w:p w14:paraId="0A427DE4" w14:textId="77777777" w:rsidR="00F842D2" w:rsidRDefault="00F842D2" w:rsidP="00F842D2">
                  <w:pPr>
                    <w:spacing w:after="0" w:line="256" w:lineRule="auto"/>
                  </w:pPr>
                  <w:r>
                    <w:rPr>
                      <w:rFonts w:ascii="Tahoma" w:eastAsia="Tahoma" w:hAnsi="Tahoma" w:cs="Tahoma"/>
                      <w:b/>
                      <w:sz w:val="18"/>
                    </w:rPr>
                    <w:t xml:space="preserve">Non WENGs </w:t>
                  </w:r>
                </w:p>
              </w:tc>
              <w:tc>
                <w:tcPr>
                  <w:tcW w:w="982" w:type="dxa"/>
                  <w:tcBorders>
                    <w:top w:val="single" w:sz="4" w:space="0" w:color="000000"/>
                    <w:left w:val="single" w:sz="4" w:space="0" w:color="000000"/>
                    <w:bottom w:val="single" w:sz="4" w:space="0" w:color="000000"/>
                    <w:right w:val="single" w:sz="4" w:space="0" w:color="000000"/>
                  </w:tcBorders>
                  <w:hideMark/>
                </w:tcPr>
                <w:p w14:paraId="33E43BFE" w14:textId="77777777" w:rsidR="00F842D2" w:rsidRDefault="00F842D2" w:rsidP="00F842D2">
                  <w:pPr>
                    <w:spacing w:after="0" w:line="256" w:lineRule="auto"/>
                    <w:ind w:left="1"/>
                  </w:pPr>
                  <w:r>
                    <w:rPr>
                      <w:rFonts w:ascii="Tahoma" w:eastAsia="Tahoma" w:hAnsi="Tahoma" w:cs="Tahoma"/>
                      <w:sz w:val="18"/>
                    </w:rPr>
                    <w:t xml:space="preserve">185 </w:t>
                  </w:r>
                </w:p>
              </w:tc>
              <w:tc>
                <w:tcPr>
                  <w:tcW w:w="1388" w:type="dxa"/>
                  <w:tcBorders>
                    <w:top w:val="single" w:sz="4" w:space="0" w:color="000000"/>
                    <w:left w:val="single" w:sz="4" w:space="0" w:color="000000"/>
                    <w:bottom w:val="single" w:sz="4" w:space="0" w:color="000000"/>
                    <w:right w:val="single" w:sz="4" w:space="0" w:color="000000"/>
                  </w:tcBorders>
                  <w:hideMark/>
                </w:tcPr>
                <w:p w14:paraId="55DE4089" w14:textId="6F1DF35F" w:rsidR="00F842D2" w:rsidRDefault="00F842D2" w:rsidP="00F842D2">
                  <w:pPr>
                    <w:spacing w:after="0" w:line="256" w:lineRule="auto"/>
                    <w:ind w:left="1"/>
                  </w:pPr>
                  <w:r>
                    <w:rPr>
                      <w:rFonts w:ascii="Tahoma" w:eastAsia="Tahoma" w:hAnsi="Tahoma" w:cs="Tahoma"/>
                      <w:sz w:val="18"/>
                    </w:rPr>
                    <w:t xml:space="preserve">60.54 (47) </w:t>
                  </w:r>
                </w:p>
              </w:tc>
              <w:tc>
                <w:tcPr>
                  <w:tcW w:w="1334" w:type="dxa"/>
                  <w:tcBorders>
                    <w:top w:val="single" w:sz="4" w:space="0" w:color="000000"/>
                    <w:left w:val="single" w:sz="4" w:space="0" w:color="000000"/>
                    <w:bottom w:val="single" w:sz="4" w:space="0" w:color="000000"/>
                    <w:right w:val="single" w:sz="4" w:space="0" w:color="000000"/>
                  </w:tcBorders>
                  <w:hideMark/>
                </w:tcPr>
                <w:p w14:paraId="4A5EA9A0" w14:textId="6B0E830A" w:rsidR="00F842D2" w:rsidRDefault="00F842D2" w:rsidP="00F842D2">
                  <w:pPr>
                    <w:spacing w:after="0" w:line="256" w:lineRule="auto"/>
                    <w:ind w:left="1"/>
                  </w:pPr>
                  <w:r>
                    <w:rPr>
                      <w:rFonts w:ascii="Tahoma" w:eastAsia="Tahoma" w:hAnsi="Tahoma" w:cs="Tahoma"/>
                      <w:sz w:val="18"/>
                    </w:rPr>
                    <w:t xml:space="preserve">40 (23) </w:t>
                  </w:r>
                </w:p>
              </w:tc>
              <w:tc>
                <w:tcPr>
                  <w:tcW w:w="1385" w:type="dxa"/>
                  <w:tcBorders>
                    <w:top w:val="single" w:sz="4" w:space="0" w:color="000000"/>
                    <w:left w:val="single" w:sz="4" w:space="0" w:color="000000"/>
                    <w:bottom w:val="single" w:sz="4" w:space="0" w:color="000000"/>
                    <w:right w:val="single" w:sz="4" w:space="0" w:color="000000"/>
                  </w:tcBorders>
                  <w:hideMark/>
                </w:tcPr>
                <w:p w14:paraId="2C9E4182" w14:textId="26C5F678" w:rsidR="00F842D2" w:rsidRDefault="00F842D2" w:rsidP="00F842D2">
                  <w:pPr>
                    <w:spacing w:after="0" w:line="256" w:lineRule="auto"/>
                    <w:ind w:left="1"/>
                  </w:pPr>
                  <w:r>
                    <w:rPr>
                      <w:rFonts w:ascii="Tahoma" w:eastAsia="Tahoma" w:hAnsi="Tahoma" w:cs="Tahoma"/>
                      <w:sz w:val="18"/>
                    </w:rPr>
                    <w:t xml:space="preserve">0.66 (0.07) </w:t>
                  </w:r>
                </w:p>
              </w:tc>
              <w:tc>
                <w:tcPr>
                  <w:tcW w:w="1554" w:type="dxa"/>
                  <w:tcBorders>
                    <w:top w:val="single" w:sz="4" w:space="0" w:color="000000"/>
                    <w:left w:val="single" w:sz="4" w:space="0" w:color="000000"/>
                    <w:bottom w:val="single" w:sz="4" w:space="0" w:color="000000"/>
                    <w:right w:val="single" w:sz="4" w:space="0" w:color="000000"/>
                  </w:tcBorders>
                  <w:hideMark/>
                </w:tcPr>
                <w:p w14:paraId="4E43DEA9" w14:textId="138D195C" w:rsidR="00F842D2" w:rsidRDefault="00F842D2" w:rsidP="00F842D2">
                  <w:pPr>
                    <w:spacing w:after="0" w:line="256" w:lineRule="auto"/>
                    <w:ind w:left="1"/>
                  </w:pPr>
                  <w:r>
                    <w:rPr>
                      <w:rFonts w:ascii="Tahoma" w:eastAsia="Tahoma" w:hAnsi="Tahoma" w:cs="Tahoma"/>
                      <w:sz w:val="18"/>
                    </w:rPr>
                    <w:t xml:space="preserve">48.45 (39) </w:t>
                  </w:r>
                </w:p>
              </w:tc>
            </w:tr>
            <w:tr w:rsidR="00F842D2" w14:paraId="0BF0DB7B" w14:textId="77777777" w:rsidTr="00F842D2">
              <w:trPr>
                <w:trHeight w:val="409"/>
              </w:trPr>
              <w:tc>
                <w:tcPr>
                  <w:tcW w:w="3329" w:type="dxa"/>
                  <w:tcBorders>
                    <w:top w:val="single" w:sz="4" w:space="0" w:color="000000"/>
                    <w:left w:val="single" w:sz="4" w:space="0" w:color="000000"/>
                    <w:bottom w:val="single" w:sz="4" w:space="0" w:color="000000"/>
                    <w:right w:val="single" w:sz="4" w:space="0" w:color="000000"/>
                  </w:tcBorders>
                  <w:shd w:val="clear" w:color="auto" w:fill="FFF2CC"/>
                  <w:hideMark/>
                </w:tcPr>
                <w:p w14:paraId="5156078A" w14:textId="77777777" w:rsidR="00F842D2" w:rsidRDefault="00F842D2" w:rsidP="00F842D2">
                  <w:pPr>
                    <w:spacing w:after="0" w:line="256" w:lineRule="auto"/>
                  </w:pPr>
                  <w:r>
                    <w:rPr>
                      <w:rFonts w:ascii="Tahoma" w:eastAsia="Tahoma" w:hAnsi="Tahoma" w:cs="Tahoma"/>
                      <w:b/>
                      <w:sz w:val="18"/>
                    </w:rPr>
                    <w:t xml:space="preserve">WENGs Gap </w:t>
                  </w:r>
                </w:p>
              </w:tc>
              <w:tc>
                <w:tcPr>
                  <w:tcW w:w="982" w:type="dxa"/>
                  <w:tcBorders>
                    <w:top w:val="single" w:sz="4" w:space="0" w:color="000000"/>
                    <w:left w:val="single" w:sz="4" w:space="0" w:color="000000"/>
                    <w:bottom w:val="single" w:sz="4" w:space="0" w:color="000000"/>
                    <w:right w:val="single" w:sz="4" w:space="0" w:color="000000"/>
                  </w:tcBorders>
                  <w:shd w:val="clear" w:color="auto" w:fill="FFF2CC"/>
                  <w:hideMark/>
                </w:tcPr>
                <w:p w14:paraId="6C6C196A" w14:textId="77777777" w:rsidR="00F842D2" w:rsidRDefault="00F842D2" w:rsidP="00F842D2">
                  <w:pPr>
                    <w:spacing w:after="0" w:line="256" w:lineRule="auto"/>
                    <w:ind w:left="1"/>
                  </w:pPr>
                  <w:r>
                    <w:rPr>
                      <w:rFonts w:ascii="Tahoma" w:eastAsia="Tahoma" w:hAnsi="Tahoma" w:cs="Tahoma"/>
                      <w:sz w:val="18"/>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FFF2CC"/>
                  <w:hideMark/>
                </w:tcPr>
                <w:p w14:paraId="0A17E103" w14:textId="710830E8" w:rsidR="00F842D2" w:rsidRDefault="00F842D2" w:rsidP="00F842D2">
                  <w:pPr>
                    <w:spacing w:after="0" w:line="256" w:lineRule="auto"/>
                    <w:ind w:left="1"/>
                  </w:pPr>
                  <w:r>
                    <w:rPr>
                      <w:rFonts w:ascii="Tahoma" w:eastAsia="Tahoma" w:hAnsi="Tahoma" w:cs="Tahoma"/>
                      <w:sz w:val="18"/>
                    </w:rPr>
                    <w:t xml:space="preserve">35.54 (21)   </w:t>
                  </w:r>
                </w:p>
              </w:tc>
              <w:tc>
                <w:tcPr>
                  <w:tcW w:w="1334" w:type="dxa"/>
                  <w:tcBorders>
                    <w:top w:val="single" w:sz="4" w:space="0" w:color="000000"/>
                    <w:left w:val="single" w:sz="4" w:space="0" w:color="000000"/>
                    <w:bottom w:val="single" w:sz="4" w:space="0" w:color="000000"/>
                    <w:right w:val="single" w:sz="4" w:space="0" w:color="000000"/>
                  </w:tcBorders>
                  <w:shd w:val="clear" w:color="auto" w:fill="FFF2CC"/>
                  <w:hideMark/>
                </w:tcPr>
                <w:p w14:paraId="511FD9F9" w14:textId="11C3F014" w:rsidR="00F842D2" w:rsidRDefault="00F842D2" w:rsidP="00F842D2">
                  <w:pPr>
                    <w:spacing w:after="0" w:line="256" w:lineRule="auto"/>
                    <w:ind w:left="1"/>
                  </w:pPr>
                  <w:r>
                    <w:rPr>
                      <w:rFonts w:ascii="Tahoma" w:eastAsia="Tahoma" w:hAnsi="Tahoma" w:cs="Tahoma"/>
                      <w:sz w:val="18"/>
                    </w:rPr>
                    <w:t xml:space="preserve">27.5 (12) </w:t>
                  </w:r>
                </w:p>
              </w:tc>
              <w:tc>
                <w:tcPr>
                  <w:tcW w:w="1385" w:type="dxa"/>
                  <w:tcBorders>
                    <w:top w:val="single" w:sz="4" w:space="0" w:color="000000"/>
                    <w:left w:val="single" w:sz="4" w:space="0" w:color="000000"/>
                    <w:bottom w:val="single" w:sz="4" w:space="0" w:color="000000"/>
                    <w:right w:val="single" w:sz="4" w:space="0" w:color="000000"/>
                  </w:tcBorders>
                  <w:shd w:val="clear" w:color="auto" w:fill="FFF2CC"/>
                  <w:hideMark/>
                </w:tcPr>
                <w:p w14:paraId="4DFA13E7" w14:textId="7C9B5502" w:rsidR="00F842D2" w:rsidRDefault="00F842D2" w:rsidP="00F842D2">
                  <w:pPr>
                    <w:spacing w:after="0" w:line="256" w:lineRule="auto"/>
                    <w:ind w:left="1"/>
                  </w:pPr>
                  <w:r>
                    <w:rPr>
                      <w:rFonts w:ascii="Tahoma" w:eastAsia="Tahoma" w:hAnsi="Tahoma" w:cs="Tahoma"/>
                      <w:sz w:val="18"/>
                    </w:rPr>
                    <w:t xml:space="preserve">-1.1 (-1.45) </w:t>
                  </w:r>
                </w:p>
              </w:tc>
              <w:tc>
                <w:tcPr>
                  <w:tcW w:w="1554" w:type="dxa"/>
                  <w:tcBorders>
                    <w:top w:val="single" w:sz="4" w:space="0" w:color="000000"/>
                    <w:left w:val="single" w:sz="4" w:space="0" w:color="000000"/>
                    <w:bottom w:val="single" w:sz="4" w:space="0" w:color="000000"/>
                    <w:right w:val="single" w:sz="4" w:space="0" w:color="000000"/>
                  </w:tcBorders>
                  <w:shd w:val="clear" w:color="auto" w:fill="FFF2CC"/>
                  <w:hideMark/>
                </w:tcPr>
                <w:p w14:paraId="0DDA54B8" w14:textId="586E04E9" w:rsidR="00F842D2" w:rsidRDefault="00F842D2" w:rsidP="00F842D2">
                  <w:pPr>
                    <w:spacing w:after="0" w:line="256" w:lineRule="auto"/>
                    <w:ind w:left="1"/>
                  </w:pPr>
                  <w:r>
                    <w:rPr>
                      <w:rFonts w:ascii="Tahoma" w:eastAsia="Tahoma" w:hAnsi="Tahoma" w:cs="Tahoma"/>
                      <w:sz w:val="18"/>
                    </w:rPr>
                    <w:t xml:space="preserve">14.99 (14.6) </w:t>
                  </w:r>
                </w:p>
              </w:tc>
            </w:tr>
            <w:tr w:rsidR="00F842D2" w14:paraId="1325C387" w14:textId="77777777" w:rsidTr="00F842D2">
              <w:trPr>
                <w:trHeight w:val="414"/>
              </w:trPr>
              <w:tc>
                <w:tcPr>
                  <w:tcW w:w="3329" w:type="dxa"/>
                  <w:tcBorders>
                    <w:top w:val="single" w:sz="4" w:space="0" w:color="000000"/>
                    <w:left w:val="single" w:sz="4" w:space="0" w:color="000000"/>
                    <w:bottom w:val="single" w:sz="4" w:space="0" w:color="000000"/>
                    <w:right w:val="single" w:sz="4" w:space="0" w:color="000000"/>
                  </w:tcBorders>
                  <w:hideMark/>
                </w:tcPr>
                <w:p w14:paraId="3220BFD9" w14:textId="77777777" w:rsidR="00F842D2" w:rsidRDefault="00F842D2" w:rsidP="00F842D2">
                  <w:pPr>
                    <w:spacing w:after="0" w:line="256" w:lineRule="auto"/>
                  </w:pPr>
                  <w:r>
                    <w:rPr>
                      <w:rFonts w:ascii="Tahoma" w:eastAsia="Tahoma" w:hAnsi="Tahoma" w:cs="Tahoma"/>
                      <w:b/>
                      <w:sz w:val="18"/>
                    </w:rPr>
                    <w:t xml:space="preserve">SEN </w:t>
                  </w:r>
                </w:p>
              </w:tc>
              <w:tc>
                <w:tcPr>
                  <w:tcW w:w="982" w:type="dxa"/>
                  <w:tcBorders>
                    <w:top w:val="single" w:sz="4" w:space="0" w:color="000000"/>
                    <w:left w:val="single" w:sz="4" w:space="0" w:color="000000"/>
                    <w:bottom w:val="single" w:sz="4" w:space="0" w:color="000000"/>
                    <w:right w:val="single" w:sz="4" w:space="0" w:color="000000"/>
                  </w:tcBorders>
                  <w:hideMark/>
                </w:tcPr>
                <w:p w14:paraId="2D6CAA38" w14:textId="77777777" w:rsidR="00F842D2" w:rsidRDefault="00F842D2" w:rsidP="00F842D2">
                  <w:pPr>
                    <w:spacing w:after="0" w:line="256" w:lineRule="auto"/>
                    <w:ind w:left="1"/>
                  </w:pPr>
                  <w:r>
                    <w:rPr>
                      <w:rFonts w:ascii="Tahoma" w:eastAsia="Tahoma" w:hAnsi="Tahoma" w:cs="Tahoma"/>
                      <w:sz w:val="18"/>
                    </w:rPr>
                    <w:t xml:space="preserve">42 </w:t>
                  </w:r>
                </w:p>
              </w:tc>
              <w:tc>
                <w:tcPr>
                  <w:tcW w:w="1388" w:type="dxa"/>
                  <w:tcBorders>
                    <w:top w:val="single" w:sz="4" w:space="0" w:color="000000"/>
                    <w:left w:val="single" w:sz="4" w:space="0" w:color="000000"/>
                    <w:bottom w:val="single" w:sz="4" w:space="0" w:color="000000"/>
                    <w:right w:val="single" w:sz="4" w:space="0" w:color="000000"/>
                  </w:tcBorders>
                  <w:hideMark/>
                </w:tcPr>
                <w:p w14:paraId="3CCAFDA3" w14:textId="77777777" w:rsidR="00F842D2" w:rsidRDefault="00F842D2" w:rsidP="00F842D2">
                  <w:pPr>
                    <w:spacing w:after="0" w:line="256" w:lineRule="auto"/>
                    <w:ind w:left="1"/>
                  </w:pPr>
                  <w:r>
                    <w:rPr>
                      <w:rFonts w:ascii="Tahoma" w:eastAsia="Tahoma" w:hAnsi="Tahoma" w:cs="Tahoma"/>
                      <w:sz w:val="18"/>
                    </w:rPr>
                    <w:t xml:space="preserve">21.4 </w:t>
                  </w:r>
                </w:p>
              </w:tc>
              <w:tc>
                <w:tcPr>
                  <w:tcW w:w="1334" w:type="dxa"/>
                  <w:tcBorders>
                    <w:top w:val="single" w:sz="4" w:space="0" w:color="000000"/>
                    <w:left w:val="single" w:sz="4" w:space="0" w:color="000000"/>
                    <w:bottom w:val="single" w:sz="4" w:space="0" w:color="000000"/>
                    <w:right w:val="single" w:sz="4" w:space="0" w:color="000000"/>
                  </w:tcBorders>
                  <w:hideMark/>
                </w:tcPr>
                <w:p w14:paraId="52712124" w14:textId="77777777" w:rsidR="00F842D2" w:rsidRDefault="00F842D2" w:rsidP="00F842D2">
                  <w:pPr>
                    <w:spacing w:after="0" w:line="256" w:lineRule="auto"/>
                    <w:ind w:left="1"/>
                  </w:pPr>
                  <w:r>
                    <w:rPr>
                      <w:rFonts w:ascii="Tahoma" w:eastAsia="Tahoma" w:hAnsi="Tahoma" w:cs="Tahoma"/>
                      <w:sz w:val="18"/>
                    </w:rPr>
                    <w:t xml:space="preserve">7.14 </w:t>
                  </w:r>
                </w:p>
              </w:tc>
              <w:tc>
                <w:tcPr>
                  <w:tcW w:w="1385" w:type="dxa"/>
                  <w:tcBorders>
                    <w:top w:val="single" w:sz="4" w:space="0" w:color="000000"/>
                    <w:left w:val="single" w:sz="4" w:space="0" w:color="000000"/>
                    <w:bottom w:val="single" w:sz="4" w:space="0" w:color="000000"/>
                    <w:right w:val="single" w:sz="4" w:space="0" w:color="000000"/>
                  </w:tcBorders>
                  <w:hideMark/>
                </w:tcPr>
                <w:p w14:paraId="5911547E" w14:textId="77777777" w:rsidR="00F842D2" w:rsidRDefault="00F842D2" w:rsidP="00F842D2">
                  <w:pPr>
                    <w:spacing w:after="0" w:line="256" w:lineRule="auto"/>
                    <w:ind w:left="1"/>
                  </w:pPr>
                  <w:r>
                    <w:rPr>
                      <w:rFonts w:ascii="Tahoma" w:eastAsia="Tahoma" w:hAnsi="Tahoma" w:cs="Tahoma"/>
                      <w:sz w:val="18"/>
                    </w:rPr>
                    <w:t xml:space="preserve">0.74 </w:t>
                  </w:r>
                </w:p>
              </w:tc>
              <w:tc>
                <w:tcPr>
                  <w:tcW w:w="1554" w:type="dxa"/>
                  <w:tcBorders>
                    <w:top w:val="single" w:sz="4" w:space="0" w:color="000000"/>
                    <w:left w:val="single" w:sz="4" w:space="0" w:color="000000"/>
                    <w:bottom w:val="single" w:sz="4" w:space="0" w:color="000000"/>
                    <w:right w:val="single" w:sz="4" w:space="0" w:color="000000"/>
                  </w:tcBorders>
                  <w:hideMark/>
                </w:tcPr>
                <w:p w14:paraId="08E34DA1" w14:textId="77777777" w:rsidR="00F842D2" w:rsidRDefault="00F842D2" w:rsidP="00F842D2">
                  <w:pPr>
                    <w:spacing w:after="0" w:line="256" w:lineRule="auto"/>
                    <w:ind w:left="1"/>
                  </w:pPr>
                  <w:r>
                    <w:rPr>
                      <w:rFonts w:ascii="Tahoma" w:eastAsia="Tahoma" w:hAnsi="Tahoma" w:cs="Tahoma"/>
                      <w:sz w:val="18"/>
                    </w:rPr>
                    <w:t xml:space="preserve">34.29 </w:t>
                  </w:r>
                </w:p>
              </w:tc>
            </w:tr>
            <w:tr w:rsidR="00F842D2" w14:paraId="2F131A5C" w14:textId="77777777" w:rsidTr="00F842D2">
              <w:trPr>
                <w:trHeight w:val="414"/>
              </w:trPr>
              <w:tc>
                <w:tcPr>
                  <w:tcW w:w="3329" w:type="dxa"/>
                  <w:tcBorders>
                    <w:top w:val="single" w:sz="4" w:space="0" w:color="000000"/>
                    <w:left w:val="single" w:sz="4" w:space="0" w:color="000000"/>
                    <w:bottom w:val="single" w:sz="4" w:space="0" w:color="000000"/>
                    <w:right w:val="single" w:sz="4" w:space="0" w:color="000000"/>
                  </w:tcBorders>
                  <w:hideMark/>
                </w:tcPr>
                <w:p w14:paraId="2ACAC1B3" w14:textId="77777777" w:rsidR="00F842D2" w:rsidRDefault="00F842D2" w:rsidP="00F842D2">
                  <w:pPr>
                    <w:spacing w:after="0" w:line="256" w:lineRule="auto"/>
                  </w:pPr>
                  <w:r>
                    <w:rPr>
                      <w:rFonts w:ascii="Tahoma" w:eastAsia="Tahoma" w:hAnsi="Tahoma" w:cs="Tahoma"/>
                      <w:b/>
                      <w:sz w:val="18"/>
                    </w:rPr>
                    <w:t xml:space="preserve">No SEN </w:t>
                  </w:r>
                </w:p>
              </w:tc>
              <w:tc>
                <w:tcPr>
                  <w:tcW w:w="982" w:type="dxa"/>
                  <w:tcBorders>
                    <w:top w:val="single" w:sz="4" w:space="0" w:color="000000"/>
                    <w:left w:val="single" w:sz="4" w:space="0" w:color="000000"/>
                    <w:bottom w:val="single" w:sz="4" w:space="0" w:color="000000"/>
                    <w:right w:val="single" w:sz="4" w:space="0" w:color="000000"/>
                  </w:tcBorders>
                  <w:hideMark/>
                </w:tcPr>
                <w:p w14:paraId="3F75B796" w14:textId="77777777" w:rsidR="00F842D2" w:rsidRDefault="00F842D2" w:rsidP="00F842D2">
                  <w:pPr>
                    <w:spacing w:after="0" w:line="256" w:lineRule="auto"/>
                    <w:ind w:left="1"/>
                  </w:pPr>
                  <w:r>
                    <w:rPr>
                      <w:rFonts w:ascii="Tahoma" w:eastAsia="Tahoma" w:hAnsi="Tahoma" w:cs="Tahoma"/>
                      <w:sz w:val="18"/>
                    </w:rPr>
                    <w:t xml:space="preserve">182 </w:t>
                  </w:r>
                </w:p>
              </w:tc>
              <w:tc>
                <w:tcPr>
                  <w:tcW w:w="1388" w:type="dxa"/>
                  <w:tcBorders>
                    <w:top w:val="single" w:sz="4" w:space="0" w:color="000000"/>
                    <w:left w:val="single" w:sz="4" w:space="0" w:color="000000"/>
                    <w:bottom w:val="single" w:sz="4" w:space="0" w:color="000000"/>
                    <w:right w:val="single" w:sz="4" w:space="0" w:color="000000"/>
                  </w:tcBorders>
                  <w:hideMark/>
                </w:tcPr>
                <w:p w14:paraId="2210BAE1" w14:textId="77777777" w:rsidR="00F842D2" w:rsidRDefault="00F842D2" w:rsidP="00F842D2">
                  <w:pPr>
                    <w:spacing w:after="0" w:line="256" w:lineRule="auto"/>
                    <w:ind w:left="1"/>
                  </w:pPr>
                  <w:r>
                    <w:rPr>
                      <w:rFonts w:ascii="Tahoma" w:eastAsia="Tahoma" w:hAnsi="Tahoma" w:cs="Tahoma"/>
                      <w:sz w:val="18"/>
                    </w:rPr>
                    <w:t xml:space="preserve">63.74 </w:t>
                  </w:r>
                </w:p>
              </w:tc>
              <w:tc>
                <w:tcPr>
                  <w:tcW w:w="1334" w:type="dxa"/>
                  <w:tcBorders>
                    <w:top w:val="single" w:sz="4" w:space="0" w:color="000000"/>
                    <w:left w:val="single" w:sz="4" w:space="0" w:color="000000"/>
                    <w:bottom w:val="single" w:sz="4" w:space="0" w:color="000000"/>
                    <w:right w:val="single" w:sz="4" w:space="0" w:color="000000"/>
                  </w:tcBorders>
                  <w:hideMark/>
                </w:tcPr>
                <w:p w14:paraId="76DE04DB" w14:textId="77777777" w:rsidR="00F842D2" w:rsidRDefault="00F842D2" w:rsidP="00F842D2">
                  <w:pPr>
                    <w:spacing w:after="0" w:line="256" w:lineRule="auto"/>
                    <w:ind w:left="1"/>
                  </w:pPr>
                  <w:r>
                    <w:rPr>
                      <w:rFonts w:ascii="Tahoma" w:eastAsia="Tahoma" w:hAnsi="Tahoma" w:cs="Tahoma"/>
                      <w:sz w:val="18"/>
                    </w:rPr>
                    <w:t xml:space="preserve">42.86 </w:t>
                  </w:r>
                </w:p>
              </w:tc>
              <w:tc>
                <w:tcPr>
                  <w:tcW w:w="1385" w:type="dxa"/>
                  <w:tcBorders>
                    <w:top w:val="single" w:sz="4" w:space="0" w:color="000000"/>
                    <w:left w:val="single" w:sz="4" w:space="0" w:color="000000"/>
                    <w:bottom w:val="single" w:sz="4" w:space="0" w:color="000000"/>
                    <w:right w:val="single" w:sz="4" w:space="0" w:color="000000"/>
                  </w:tcBorders>
                  <w:hideMark/>
                </w:tcPr>
                <w:p w14:paraId="3E6D2B76" w14:textId="77777777" w:rsidR="00F842D2" w:rsidRDefault="00F842D2" w:rsidP="00F842D2">
                  <w:pPr>
                    <w:spacing w:after="0" w:line="256" w:lineRule="auto"/>
                    <w:ind w:left="1"/>
                  </w:pPr>
                  <w:r>
                    <w:rPr>
                      <w:rFonts w:ascii="Tahoma" w:eastAsia="Tahoma" w:hAnsi="Tahoma" w:cs="Tahoma"/>
                      <w:sz w:val="18"/>
                    </w:rPr>
                    <w:t xml:space="preserve">0.61 </w:t>
                  </w:r>
                </w:p>
              </w:tc>
              <w:tc>
                <w:tcPr>
                  <w:tcW w:w="1554" w:type="dxa"/>
                  <w:tcBorders>
                    <w:top w:val="single" w:sz="4" w:space="0" w:color="000000"/>
                    <w:left w:val="single" w:sz="4" w:space="0" w:color="000000"/>
                    <w:bottom w:val="single" w:sz="4" w:space="0" w:color="000000"/>
                    <w:right w:val="single" w:sz="4" w:space="0" w:color="000000"/>
                  </w:tcBorders>
                  <w:hideMark/>
                </w:tcPr>
                <w:p w14:paraId="7D2928E7" w14:textId="77777777" w:rsidR="00F842D2" w:rsidRDefault="00F842D2" w:rsidP="00F842D2">
                  <w:pPr>
                    <w:tabs>
                      <w:tab w:val="center" w:pos="448"/>
                    </w:tabs>
                    <w:spacing w:after="0" w:line="256" w:lineRule="auto"/>
                  </w:pPr>
                  <w:r>
                    <w:rPr>
                      <w:rFonts w:ascii="Tahoma" w:eastAsia="Tahoma" w:hAnsi="Tahoma" w:cs="Tahoma"/>
                      <w:sz w:val="18"/>
                    </w:rPr>
                    <w:t xml:space="preserve">49.96 </w:t>
                  </w:r>
                  <w:r>
                    <w:rPr>
                      <w:rFonts w:ascii="Tahoma" w:eastAsia="Tahoma" w:hAnsi="Tahoma" w:cs="Tahoma"/>
                      <w:sz w:val="18"/>
                    </w:rPr>
                    <w:tab/>
                    <w:t xml:space="preserve"> </w:t>
                  </w:r>
                </w:p>
              </w:tc>
            </w:tr>
            <w:tr w:rsidR="00F842D2" w14:paraId="13553247" w14:textId="77777777" w:rsidTr="00F842D2">
              <w:trPr>
                <w:trHeight w:val="408"/>
              </w:trPr>
              <w:tc>
                <w:tcPr>
                  <w:tcW w:w="3329" w:type="dxa"/>
                  <w:tcBorders>
                    <w:top w:val="single" w:sz="4" w:space="0" w:color="000000"/>
                    <w:left w:val="single" w:sz="4" w:space="0" w:color="000000"/>
                    <w:bottom w:val="single" w:sz="4" w:space="0" w:color="000000"/>
                    <w:right w:val="single" w:sz="4" w:space="0" w:color="000000"/>
                  </w:tcBorders>
                  <w:shd w:val="clear" w:color="auto" w:fill="FFF2CC"/>
                  <w:hideMark/>
                </w:tcPr>
                <w:p w14:paraId="0AE6F964" w14:textId="77777777" w:rsidR="00F842D2" w:rsidRDefault="00F842D2" w:rsidP="00F842D2">
                  <w:pPr>
                    <w:spacing w:after="0" w:line="256" w:lineRule="auto"/>
                  </w:pPr>
                  <w:r>
                    <w:rPr>
                      <w:rFonts w:ascii="Tahoma" w:eastAsia="Tahoma" w:hAnsi="Tahoma" w:cs="Tahoma"/>
                      <w:b/>
                      <w:sz w:val="18"/>
                    </w:rPr>
                    <w:t xml:space="preserve">SEN Gap </w:t>
                  </w:r>
                </w:p>
              </w:tc>
              <w:tc>
                <w:tcPr>
                  <w:tcW w:w="982" w:type="dxa"/>
                  <w:tcBorders>
                    <w:top w:val="single" w:sz="4" w:space="0" w:color="000000"/>
                    <w:left w:val="single" w:sz="4" w:space="0" w:color="000000"/>
                    <w:bottom w:val="single" w:sz="4" w:space="0" w:color="000000"/>
                    <w:right w:val="single" w:sz="4" w:space="0" w:color="000000"/>
                  </w:tcBorders>
                  <w:shd w:val="clear" w:color="auto" w:fill="FFF2CC"/>
                  <w:hideMark/>
                </w:tcPr>
                <w:p w14:paraId="59FA2D1F" w14:textId="77777777" w:rsidR="00F842D2" w:rsidRDefault="00F842D2" w:rsidP="00F842D2">
                  <w:pPr>
                    <w:spacing w:after="0" w:line="256" w:lineRule="auto"/>
                    <w:ind w:left="1"/>
                  </w:pPr>
                  <w:r>
                    <w:rPr>
                      <w:rFonts w:ascii="Tahoma" w:eastAsia="Tahoma" w:hAnsi="Tahoma" w:cs="Tahoma"/>
                      <w:sz w:val="18"/>
                    </w:rPr>
                    <w:t xml:space="preserve">140 </w:t>
                  </w:r>
                </w:p>
              </w:tc>
              <w:tc>
                <w:tcPr>
                  <w:tcW w:w="1388" w:type="dxa"/>
                  <w:tcBorders>
                    <w:top w:val="single" w:sz="4" w:space="0" w:color="000000"/>
                    <w:left w:val="single" w:sz="4" w:space="0" w:color="000000"/>
                    <w:bottom w:val="single" w:sz="4" w:space="0" w:color="000000"/>
                    <w:right w:val="single" w:sz="4" w:space="0" w:color="000000"/>
                  </w:tcBorders>
                  <w:shd w:val="clear" w:color="auto" w:fill="FFF2CC"/>
                  <w:hideMark/>
                </w:tcPr>
                <w:p w14:paraId="6DA1D626" w14:textId="62492353" w:rsidR="00F842D2" w:rsidRDefault="00F842D2" w:rsidP="00F842D2">
                  <w:pPr>
                    <w:spacing w:after="0" w:line="256" w:lineRule="auto"/>
                    <w:ind w:left="1"/>
                  </w:pPr>
                  <w:r>
                    <w:rPr>
                      <w:rFonts w:ascii="Tahoma" w:eastAsia="Tahoma" w:hAnsi="Tahoma" w:cs="Tahoma"/>
                      <w:sz w:val="18"/>
                    </w:rPr>
                    <w:t xml:space="preserve">42.34 (38) </w:t>
                  </w:r>
                </w:p>
              </w:tc>
              <w:tc>
                <w:tcPr>
                  <w:tcW w:w="1334" w:type="dxa"/>
                  <w:tcBorders>
                    <w:top w:val="single" w:sz="4" w:space="0" w:color="000000"/>
                    <w:left w:val="single" w:sz="4" w:space="0" w:color="000000"/>
                    <w:bottom w:val="single" w:sz="4" w:space="0" w:color="000000"/>
                    <w:right w:val="single" w:sz="4" w:space="0" w:color="000000"/>
                  </w:tcBorders>
                  <w:shd w:val="clear" w:color="auto" w:fill="FFF2CC"/>
                  <w:hideMark/>
                </w:tcPr>
                <w:p w14:paraId="74A1727A" w14:textId="2ADD087C" w:rsidR="00F842D2" w:rsidRDefault="00F842D2" w:rsidP="00F842D2">
                  <w:pPr>
                    <w:spacing w:after="0" w:line="256" w:lineRule="auto"/>
                    <w:ind w:left="1"/>
                  </w:pPr>
                  <w:r>
                    <w:rPr>
                      <w:rFonts w:ascii="Tahoma" w:eastAsia="Tahoma" w:hAnsi="Tahoma" w:cs="Tahoma"/>
                      <w:sz w:val="18"/>
                    </w:rPr>
                    <w:t xml:space="preserve">35.72 (20) </w:t>
                  </w:r>
                </w:p>
              </w:tc>
              <w:tc>
                <w:tcPr>
                  <w:tcW w:w="1385" w:type="dxa"/>
                  <w:tcBorders>
                    <w:top w:val="single" w:sz="4" w:space="0" w:color="000000"/>
                    <w:left w:val="single" w:sz="4" w:space="0" w:color="000000"/>
                    <w:bottom w:val="single" w:sz="4" w:space="0" w:color="000000"/>
                    <w:right w:val="single" w:sz="4" w:space="0" w:color="000000"/>
                  </w:tcBorders>
                  <w:shd w:val="clear" w:color="auto" w:fill="FFF2CC"/>
                  <w:hideMark/>
                </w:tcPr>
                <w:p w14:paraId="70B1AA21" w14:textId="6E19375E" w:rsidR="00F842D2" w:rsidRDefault="00F842D2" w:rsidP="00F842D2">
                  <w:pPr>
                    <w:spacing w:after="0" w:line="256" w:lineRule="auto"/>
                    <w:ind w:left="1"/>
                  </w:pPr>
                  <w:r>
                    <w:rPr>
                      <w:rFonts w:ascii="Tahoma" w:eastAsia="Tahoma" w:hAnsi="Tahoma" w:cs="Tahoma"/>
                      <w:sz w:val="18"/>
                    </w:rPr>
                    <w:t xml:space="preserve">0.13 (0.3) </w:t>
                  </w:r>
                </w:p>
              </w:tc>
              <w:tc>
                <w:tcPr>
                  <w:tcW w:w="1554" w:type="dxa"/>
                  <w:tcBorders>
                    <w:top w:val="single" w:sz="4" w:space="0" w:color="000000"/>
                    <w:left w:val="single" w:sz="4" w:space="0" w:color="000000"/>
                    <w:bottom w:val="single" w:sz="4" w:space="0" w:color="000000"/>
                    <w:right w:val="single" w:sz="4" w:space="0" w:color="000000"/>
                  </w:tcBorders>
                  <w:shd w:val="clear" w:color="auto" w:fill="FFF2CC"/>
                  <w:hideMark/>
                </w:tcPr>
                <w:p w14:paraId="6AD89EE9" w14:textId="0FBF50EA" w:rsidR="00F842D2" w:rsidRDefault="00F842D2" w:rsidP="00F842D2">
                  <w:pPr>
                    <w:spacing w:after="0" w:line="256" w:lineRule="auto"/>
                    <w:ind w:left="1"/>
                  </w:pPr>
                  <w:r>
                    <w:rPr>
                      <w:rFonts w:ascii="Tahoma" w:eastAsia="Tahoma" w:hAnsi="Tahoma" w:cs="Tahoma"/>
                      <w:sz w:val="18"/>
                    </w:rPr>
                    <w:t xml:space="preserve"> 15.67 (9.8) </w:t>
                  </w:r>
                </w:p>
              </w:tc>
            </w:tr>
            <w:tr w:rsidR="00F842D2" w14:paraId="0F17B084" w14:textId="77777777" w:rsidTr="00F842D2">
              <w:trPr>
                <w:trHeight w:val="448"/>
              </w:trPr>
              <w:tc>
                <w:tcPr>
                  <w:tcW w:w="3329" w:type="dxa"/>
                  <w:tcBorders>
                    <w:top w:val="single" w:sz="4" w:space="0" w:color="000000"/>
                    <w:left w:val="single" w:sz="4" w:space="0" w:color="000000"/>
                    <w:bottom w:val="single" w:sz="4" w:space="0" w:color="000000"/>
                    <w:right w:val="nil"/>
                  </w:tcBorders>
                  <w:hideMark/>
                </w:tcPr>
                <w:p w14:paraId="46769B58" w14:textId="77777777" w:rsidR="00F842D2" w:rsidRDefault="00F842D2" w:rsidP="00F842D2">
                  <w:pPr>
                    <w:spacing w:after="0" w:line="256" w:lineRule="auto"/>
                  </w:pPr>
                  <w:r>
                    <w:rPr>
                      <w:rFonts w:ascii="Tahoma" w:eastAsia="Tahoma" w:hAnsi="Tahoma" w:cs="Tahoma"/>
                      <w:sz w:val="18"/>
                    </w:rPr>
                    <w:t xml:space="preserve">Previous Gap (2020) shown in brackets </w:t>
                  </w:r>
                </w:p>
                <w:p w14:paraId="4F3258BB" w14:textId="77777777" w:rsidR="00F842D2" w:rsidRDefault="00F842D2" w:rsidP="00F842D2">
                  <w:pPr>
                    <w:spacing w:after="0" w:line="256" w:lineRule="auto"/>
                  </w:pPr>
                  <w:r>
                    <w:rPr>
                      <w:rFonts w:ascii="Tahoma" w:eastAsia="Tahoma" w:hAnsi="Tahoma" w:cs="Tahoma"/>
                      <w:b/>
                      <w:sz w:val="18"/>
                    </w:rPr>
                    <w:t xml:space="preserve"> </w:t>
                  </w:r>
                </w:p>
              </w:tc>
              <w:tc>
                <w:tcPr>
                  <w:tcW w:w="6643" w:type="dxa"/>
                  <w:gridSpan w:val="5"/>
                  <w:tcBorders>
                    <w:top w:val="single" w:sz="4" w:space="0" w:color="000000"/>
                    <w:left w:val="nil"/>
                    <w:bottom w:val="single" w:sz="4" w:space="0" w:color="000000"/>
                    <w:right w:val="single" w:sz="4" w:space="0" w:color="000000"/>
                  </w:tcBorders>
                </w:tcPr>
                <w:p w14:paraId="5982EF00" w14:textId="77777777" w:rsidR="00F842D2" w:rsidRDefault="00F842D2" w:rsidP="00F842D2">
                  <w:pPr>
                    <w:spacing w:after="160" w:line="256" w:lineRule="auto"/>
                  </w:pPr>
                </w:p>
              </w:tc>
            </w:tr>
          </w:tbl>
          <w:p w14:paraId="260F4924" w14:textId="77777777" w:rsidR="005A7163" w:rsidRDefault="00E17DB2" w:rsidP="00F842D2">
            <w:pPr>
              <w:ind w:left="-5"/>
              <w:rPr>
                <w:color w:val="000000" w:themeColor="text1"/>
              </w:rPr>
            </w:pPr>
            <w:r w:rsidRPr="00F842D2">
              <w:rPr>
                <w:color w:val="000000" w:themeColor="text1"/>
              </w:rPr>
              <w:t xml:space="preserve">The achievement gap has widened in a variety of performance indicators between 2020 and 2021. The figures in brackets represent last year’s data included for ease of comparison. This is particularly noticeable within the </w:t>
            </w:r>
            <w:proofErr w:type="spellStart"/>
            <w:r w:rsidRPr="00F842D2">
              <w:rPr>
                <w:color w:val="000000" w:themeColor="text1"/>
              </w:rPr>
              <w:t>WEng</w:t>
            </w:r>
            <w:proofErr w:type="spellEnd"/>
            <w:r w:rsidRPr="00F842D2">
              <w:rPr>
                <w:color w:val="000000" w:themeColor="text1"/>
              </w:rPr>
              <w:t xml:space="preserve"> and Pupil Premium populations and can probably be attributed to the impact of the Pandemic on children, the lack of standardised examinations and the huge disruption to learning during the lockdowns. </w:t>
            </w:r>
          </w:p>
          <w:p w14:paraId="4C76C454" w14:textId="014B4120" w:rsidR="00BD7695" w:rsidRDefault="00E17DB2" w:rsidP="00BD7695">
            <w:pPr>
              <w:ind w:left="-5"/>
              <w:rPr>
                <w:color w:val="000000" w:themeColor="text1"/>
              </w:rPr>
            </w:pPr>
            <w:r w:rsidRPr="00F842D2">
              <w:rPr>
                <w:color w:val="000000" w:themeColor="text1"/>
              </w:rPr>
              <w:t xml:space="preserve">As a school we mitigate against </w:t>
            </w:r>
            <w:proofErr w:type="gramStart"/>
            <w:r w:rsidRPr="00F842D2">
              <w:rPr>
                <w:color w:val="000000" w:themeColor="text1"/>
              </w:rPr>
              <w:t>these impact</w:t>
            </w:r>
            <w:proofErr w:type="gramEnd"/>
            <w:r w:rsidRPr="00F842D2">
              <w:rPr>
                <w:color w:val="000000" w:themeColor="text1"/>
              </w:rPr>
              <w:t xml:space="preserve"> under very challenging circumstances and continue to employ various strategies supported by specific</w:t>
            </w:r>
            <w:r w:rsidR="00BD7695">
              <w:rPr>
                <w:color w:val="000000" w:themeColor="text1"/>
              </w:rPr>
              <w:t xml:space="preserve"> tracked</w:t>
            </w:r>
            <w:r w:rsidRPr="00F842D2">
              <w:rPr>
                <w:color w:val="000000" w:themeColor="text1"/>
              </w:rPr>
              <w:t xml:space="preserve"> funding streams from the DfE such as the National Tutoring Programme</w:t>
            </w:r>
            <w:r w:rsidR="00BD7695">
              <w:rPr>
                <w:color w:val="000000" w:themeColor="text1"/>
              </w:rPr>
              <w:t xml:space="preserve"> and the pupil premium fund</w:t>
            </w:r>
            <w:r w:rsidRPr="00F842D2">
              <w:rPr>
                <w:color w:val="000000" w:themeColor="text1"/>
              </w:rPr>
              <w:t>.</w:t>
            </w:r>
            <w:r w:rsidR="00BD7695">
              <w:rPr>
                <w:color w:val="000000" w:themeColor="text1"/>
              </w:rPr>
              <w:t xml:space="preserve"> Some strategies planned for this academic year include:</w:t>
            </w:r>
          </w:p>
          <w:p w14:paraId="297DE8A1" w14:textId="15999D1C" w:rsidR="00BD7695" w:rsidRPr="008E0243" w:rsidRDefault="00BD7695" w:rsidP="00BD7695">
            <w:pPr>
              <w:pStyle w:val="ListParagraph"/>
              <w:numPr>
                <w:ilvl w:val="0"/>
                <w:numId w:val="27"/>
              </w:numPr>
              <w:spacing w:after="0" w:line="240" w:lineRule="auto"/>
              <w:ind w:left="714" w:hanging="357"/>
              <w:contextualSpacing w:val="0"/>
              <w:jc w:val="both"/>
              <w:textAlignment w:val="baseline"/>
            </w:pPr>
            <w:r>
              <w:t>School-led tutoring and planned In-class intervention such as re-teaching topics etc</w:t>
            </w:r>
          </w:p>
          <w:p w14:paraId="5E522999" w14:textId="641BB32C" w:rsidR="00BD7695" w:rsidRDefault="00BD7695" w:rsidP="00BD7695">
            <w:pPr>
              <w:pStyle w:val="ListParagraph"/>
              <w:numPr>
                <w:ilvl w:val="0"/>
                <w:numId w:val="27"/>
              </w:numPr>
              <w:spacing w:after="0" w:line="240" w:lineRule="auto"/>
              <w:ind w:left="714" w:hanging="357"/>
              <w:contextualSpacing w:val="0"/>
              <w:jc w:val="both"/>
              <w:textAlignment w:val="baseline"/>
            </w:pPr>
            <w:r>
              <w:t>Additional LSA support in lessons and close monitoring</w:t>
            </w:r>
          </w:p>
          <w:p w14:paraId="1112CCDE" w14:textId="11FD6869" w:rsidR="00BD7695" w:rsidRPr="00EA395F" w:rsidRDefault="00BD7695" w:rsidP="00BD7695">
            <w:pPr>
              <w:pStyle w:val="ListParagraph"/>
              <w:numPr>
                <w:ilvl w:val="0"/>
                <w:numId w:val="27"/>
              </w:numPr>
              <w:spacing w:after="0" w:line="240" w:lineRule="auto"/>
              <w:ind w:left="714" w:hanging="357"/>
              <w:contextualSpacing w:val="0"/>
              <w:jc w:val="both"/>
              <w:textAlignment w:val="baseline"/>
            </w:pPr>
            <w:r w:rsidRPr="008E0243">
              <w:t xml:space="preserve">Teacher accountability </w:t>
            </w:r>
            <w:r>
              <w:t xml:space="preserve">systems and </w:t>
            </w:r>
            <w:r w:rsidRPr="008E0243">
              <w:t>structures</w:t>
            </w:r>
          </w:p>
          <w:p w14:paraId="2A7D5546" w14:textId="11FD6869" w:rsidR="00E66558" w:rsidRDefault="00E17DB2" w:rsidP="00F842D2">
            <w:pPr>
              <w:ind w:left="-5"/>
            </w:pPr>
            <w:r w:rsidRPr="00F842D2">
              <w:rPr>
                <w:color w:val="000000" w:themeColor="text1"/>
              </w:rPr>
              <w:t xml:space="preserve">  </w:t>
            </w:r>
          </w:p>
        </w:tc>
      </w:tr>
    </w:tbl>
    <w:p w14:paraId="2A7D5548" w14:textId="5DDA4A9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106"/>
        <w:gridCol w:w="5380"/>
      </w:tblGrid>
      <w:tr w:rsidR="00E66558" w14:paraId="2A7D554C" w14:textId="77777777" w:rsidTr="00060707">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53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00060707">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EAFBC80" w:rsidR="00E66558" w:rsidRDefault="00E00C78">
            <w:pPr>
              <w:pStyle w:val="TableRow"/>
            </w:pPr>
            <w:r>
              <w:t>S</w:t>
            </w:r>
            <w:r w:rsidR="00BD7695">
              <w:t>ummer School</w:t>
            </w:r>
            <w:r w:rsidR="00666CD1">
              <w:t xml:space="preserve"> (2021)</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99E035D" w:rsidR="00E66558" w:rsidRDefault="00666CD1">
            <w:pPr>
              <w:pStyle w:val="TableRowCentered"/>
              <w:jc w:val="left"/>
            </w:pPr>
            <w:proofErr w:type="spellStart"/>
            <w:r>
              <w:t>Teachus</w:t>
            </w:r>
            <w:proofErr w:type="spellEnd"/>
          </w:p>
        </w:tc>
      </w:tr>
      <w:tr w:rsidR="00E66558" w14:paraId="2A7D5552" w14:textId="77777777" w:rsidTr="00060707">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D7E06E8" w:rsidR="00E66558" w:rsidRDefault="00060707">
            <w:pPr>
              <w:pStyle w:val="TableRow"/>
            </w:pPr>
            <w:r>
              <w:t>*</w:t>
            </w:r>
            <w:r w:rsidR="00666CD1">
              <w:t>Study Skills Programme</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E21A8" w14:textId="78422B24" w:rsidR="00E66558" w:rsidRDefault="00666CD1">
            <w:pPr>
              <w:pStyle w:val="TableRowCentered"/>
              <w:jc w:val="left"/>
            </w:pPr>
            <w:r>
              <w:t>Glia – Learning</w:t>
            </w:r>
          </w:p>
          <w:p w14:paraId="2A7D5551" w14:textId="18EE64E1" w:rsidR="00666CD1" w:rsidRPr="00666CD1" w:rsidRDefault="00666CD1">
            <w:pPr>
              <w:pStyle w:val="TableRowCentered"/>
              <w:jc w:val="left"/>
              <w:rPr>
                <w:i/>
              </w:rPr>
            </w:pPr>
            <w:r w:rsidRPr="00666CD1">
              <w:rPr>
                <w:i/>
                <w:sz w:val="18"/>
              </w:rPr>
              <w:t>* Purchased in previous years whilst preparing students for exams. Also purchased for 2021-22</w:t>
            </w:r>
            <w:r w:rsidR="00060707">
              <w:rPr>
                <w:i/>
                <w:sz w:val="18"/>
              </w:rPr>
              <w:t xml:space="preserve"> – Dr Van Der </w:t>
            </w:r>
            <w:proofErr w:type="spellStart"/>
            <w:r w:rsidR="00060707">
              <w:rPr>
                <w:i/>
                <w:sz w:val="18"/>
              </w:rPr>
              <w:t>Spoel</w:t>
            </w:r>
            <w:proofErr w:type="spellEnd"/>
          </w:p>
        </w:tc>
      </w:tr>
    </w:tbl>
    <w:p w14:paraId="2A7D5553" w14:textId="77777777" w:rsidR="00E66558" w:rsidRPr="00E00C78" w:rsidRDefault="009D71E8">
      <w:pPr>
        <w:pStyle w:val="Heading2"/>
        <w:spacing w:before="600"/>
        <w:rPr>
          <w:strike/>
        </w:rPr>
      </w:pPr>
      <w:r w:rsidRPr="00E00C78">
        <w:rPr>
          <w:strike/>
        </w:rPr>
        <w:t>Service pupil premium funding (optional)</w:t>
      </w:r>
    </w:p>
    <w:p w14:paraId="2A7D5554" w14:textId="77777777" w:rsidR="00E66558" w:rsidRPr="00E00C78" w:rsidRDefault="009D71E8">
      <w:pPr>
        <w:rPr>
          <w:i/>
          <w:iCs/>
          <w:strike/>
        </w:rPr>
      </w:pPr>
      <w:r w:rsidRPr="00E00C78">
        <w:rPr>
          <w:i/>
          <w:iCs/>
          <w:strike/>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531"/>
        <w:gridCol w:w="4955"/>
      </w:tblGrid>
      <w:tr w:rsidR="00E66558" w:rsidRPr="00E00C78" w14:paraId="2A7D5557" w14:textId="77777777" w:rsidTr="00060707">
        <w:tc>
          <w:tcPr>
            <w:tcW w:w="4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E00C78" w:rsidRDefault="009D71E8">
            <w:pPr>
              <w:pStyle w:val="TableHeader"/>
              <w:jc w:val="left"/>
              <w:rPr>
                <w:strike/>
              </w:rPr>
            </w:pPr>
            <w:bookmarkStart w:id="18" w:name="_Hlk80604898"/>
            <w:r w:rsidRPr="00E00C78">
              <w:rPr>
                <w:bCs/>
                <w:strike/>
              </w:rPr>
              <w:t>Measure</w:t>
            </w:r>
          </w:p>
        </w:tc>
        <w:tc>
          <w:tcPr>
            <w:tcW w:w="49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E00C78" w:rsidRDefault="009D71E8">
            <w:pPr>
              <w:pStyle w:val="TableHeader"/>
              <w:jc w:val="left"/>
              <w:rPr>
                <w:strike/>
              </w:rPr>
            </w:pPr>
            <w:r w:rsidRPr="00E00C78">
              <w:rPr>
                <w:bCs/>
                <w:strike/>
              </w:rPr>
              <w:t xml:space="preserve">Details </w:t>
            </w:r>
          </w:p>
        </w:tc>
      </w:tr>
      <w:tr w:rsidR="00E66558" w:rsidRPr="00E00C78" w14:paraId="2A7D555A" w14:textId="77777777" w:rsidTr="0006070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E00C78" w:rsidRDefault="009D71E8">
            <w:pPr>
              <w:pStyle w:val="TableRow"/>
              <w:rPr>
                <w:strike/>
              </w:rPr>
            </w:pPr>
            <w:r w:rsidRPr="00E00C78">
              <w:rPr>
                <w:strike/>
                <w:color w:val="000000"/>
                <w:sz w:val="22"/>
              </w:rPr>
              <w:t>How did you spend your service pupil premium allocation last academic year?</w:t>
            </w:r>
          </w:p>
        </w:tc>
        <w:tc>
          <w:tcPr>
            <w:tcW w:w="4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Pr="00E00C78" w:rsidRDefault="00E66558">
            <w:pPr>
              <w:pStyle w:val="TableRowCentered"/>
              <w:jc w:val="left"/>
              <w:rPr>
                <w:strike/>
              </w:rPr>
            </w:pPr>
          </w:p>
        </w:tc>
      </w:tr>
      <w:tr w:rsidR="00E66558" w:rsidRPr="00E00C78" w14:paraId="2A7D555D" w14:textId="77777777" w:rsidTr="0006070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E00C78" w:rsidRDefault="009D71E8">
            <w:pPr>
              <w:pStyle w:val="TableRow"/>
              <w:rPr>
                <w:strike/>
              </w:rPr>
            </w:pPr>
            <w:r w:rsidRPr="00E00C78">
              <w:rPr>
                <w:strike/>
                <w:color w:val="000000"/>
                <w:sz w:val="22"/>
              </w:rPr>
              <w:t>What was the impact of that spending on service pupil premium eligible pupils?</w:t>
            </w:r>
          </w:p>
        </w:tc>
        <w:tc>
          <w:tcPr>
            <w:tcW w:w="4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Pr="00E00C78" w:rsidRDefault="00E66558">
            <w:pPr>
              <w:pStyle w:val="TableRowCentered"/>
              <w:jc w:val="left"/>
              <w:rPr>
                <w:strike/>
              </w:rPr>
            </w:pPr>
          </w:p>
        </w:tc>
      </w:tr>
    </w:tbl>
    <w:bookmarkEnd w:id="18"/>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05AA" w14:textId="77777777" w:rsidR="00060707" w:rsidRPr="00060707" w:rsidRDefault="00F90F2C" w:rsidP="00060707">
            <w:pPr>
              <w:spacing w:after="0" w:line="256" w:lineRule="auto"/>
              <w:ind w:left="-5"/>
              <w:rPr>
                <w:b/>
                <w:color w:val="auto"/>
              </w:rPr>
            </w:pPr>
            <w:r w:rsidRPr="00060707">
              <w:rPr>
                <w:b/>
                <w:color w:val="auto"/>
              </w:rPr>
              <w:t xml:space="preserve">National Tutoring Programme </w:t>
            </w:r>
          </w:p>
          <w:p w14:paraId="6165E8FB" w14:textId="77777777" w:rsidR="00060707" w:rsidRPr="00060707" w:rsidRDefault="00060707" w:rsidP="00060707">
            <w:pPr>
              <w:spacing w:after="0" w:line="256" w:lineRule="auto"/>
              <w:ind w:left="-5"/>
              <w:rPr>
                <w:color w:val="auto"/>
              </w:rPr>
            </w:pPr>
          </w:p>
          <w:p w14:paraId="7D72DF85" w14:textId="4206949B" w:rsidR="00F90F2C" w:rsidRPr="00060707" w:rsidRDefault="00F90F2C" w:rsidP="00060707">
            <w:pPr>
              <w:spacing w:after="0" w:line="256" w:lineRule="auto"/>
              <w:rPr>
                <w:color w:val="auto"/>
              </w:rPr>
            </w:pPr>
            <w:r w:rsidRPr="00060707">
              <w:rPr>
                <w:color w:val="auto"/>
              </w:rPr>
              <w:t>The National Tutoring Programme</w:t>
            </w:r>
            <w:r w:rsidR="00060707" w:rsidRPr="00060707">
              <w:rPr>
                <w:color w:val="auto"/>
              </w:rPr>
              <w:t xml:space="preserve"> and Recovery Premium</w:t>
            </w:r>
            <w:r w:rsidRPr="00060707">
              <w:rPr>
                <w:color w:val="auto"/>
              </w:rPr>
              <w:t xml:space="preserve"> is the government’s catch-up programme for primary and secondary schools following school closures due to the Pandemic. Its particular focus is to provide additional support to disadvantaged pupils who have been most affected by school closures.  </w:t>
            </w:r>
          </w:p>
          <w:p w14:paraId="3AF5E741" w14:textId="77777777" w:rsidR="00F90F2C" w:rsidRPr="00060707" w:rsidRDefault="00F90F2C" w:rsidP="00F90F2C">
            <w:pPr>
              <w:spacing w:after="0" w:line="256" w:lineRule="auto"/>
              <w:rPr>
                <w:color w:val="auto"/>
              </w:rPr>
            </w:pPr>
            <w:r w:rsidRPr="00060707">
              <w:rPr>
                <w:color w:val="auto"/>
              </w:rPr>
              <w:t xml:space="preserve"> </w:t>
            </w:r>
          </w:p>
          <w:p w14:paraId="0F3F585A" w14:textId="77777777" w:rsidR="00060707" w:rsidRPr="00060707" w:rsidRDefault="00F90F2C" w:rsidP="00060707">
            <w:pPr>
              <w:ind w:left="-5"/>
              <w:rPr>
                <w:color w:val="auto"/>
              </w:rPr>
            </w:pPr>
            <w:r w:rsidRPr="00060707">
              <w:rPr>
                <w:color w:val="auto"/>
              </w:rPr>
              <w:t xml:space="preserve">Following the recommendations and research evidence that tutoring one to one or small groups is the most effective way to make rapid and </w:t>
            </w:r>
            <w:proofErr w:type="gramStart"/>
            <w:r w:rsidRPr="00060707">
              <w:rPr>
                <w:color w:val="auto"/>
              </w:rPr>
              <w:t>long lasting</w:t>
            </w:r>
            <w:proofErr w:type="gramEnd"/>
            <w:r w:rsidRPr="00060707">
              <w:rPr>
                <w:color w:val="auto"/>
              </w:rPr>
              <w:t xml:space="preserve"> progress in maths</w:t>
            </w:r>
            <w:r w:rsidR="00060707" w:rsidRPr="00060707">
              <w:rPr>
                <w:color w:val="auto"/>
              </w:rPr>
              <w:t xml:space="preserve"> and other core subjects</w:t>
            </w:r>
            <w:r w:rsidRPr="00060707">
              <w:rPr>
                <w:color w:val="auto"/>
              </w:rPr>
              <w:t xml:space="preserve">, the DfE selected 33 approved Tuition Partners to deliver this tuition in 2020/21. Our approved partner – Connex Education Partnerships provided the tutors. 72 </w:t>
            </w:r>
            <w:r w:rsidR="00060707" w:rsidRPr="00060707">
              <w:rPr>
                <w:color w:val="auto"/>
              </w:rPr>
              <w:t xml:space="preserve">students in </w:t>
            </w:r>
            <w:r w:rsidRPr="00060707">
              <w:rPr>
                <w:color w:val="auto"/>
              </w:rPr>
              <w:t xml:space="preserve">year 10 (who are now in year 11) benefitted from additional tuition in English and Maths towards the end of the academic year. 36 students in English and 36 students in Maths. 26% were in receipt of pupil premium whilst 40% were on the SEND register at different levels. An evaluation of the impact this had on the students in terms of progress in Maths and English will be analysed after our first Assessment period. </w:t>
            </w:r>
          </w:p>
          <w:p w14:paraId="06FFC334" w14:textId="3522B325" w:rsidR="00F90F2C" w:rsidRPr="00060707" w:rsidRDefault="00F90F2C" w:rsidP="00060707">
            <w:pPr>
              <w:ind w:left="-5"/>
              <w:rPr>
                <w:b/>
                <w:color w:val="auto"/>
              </w:rPr>
            </w:pPr>
            <w:r w:rsidRPr="00060707">
              <w:rPr>
                <w:b/>
                <w:color w:val="auto"/>
              </w:rPr>
              <w:t xml:space="preserve">Summer School </w:t>
            </w:r>
          </w:p>
          <w:p w14:paraId="1CF05E36" w14:textId="2110D777" w:rsidR="00F90F2C" w:rsidRPr="00060707" w:rsidRDefault="00F90F2C" w:rsidP="00F90F2C">
            <w:pPr>
              <w:ind w:left="-5"/>
              <w:rPr>
                <w:color w:val="auto"/>
              </w:rPr>
            </w:pPr>
            <w:r w:rsidRPr="00060707">
              <w:rPr>
                <w:color w:val="auto"/>
              </w:rPr>
              <w:t xml:space="preserve">We applied for the additional funding for Summer School that was provided by the </w:t>
            </w:r>
            <w:r w:rsidR="00BD7695" w:rsidRPr="00060707">
              <w:rPr>
                <w:color w:val="auto"/>
              </w:rPr>
              <w:t>DfE</w:t>
            </w:r>
            <w:r w:rsidRPr="00060707">
              <w:rPr>
                <w:color w:val="auto"/>
              </w:rPr>
              <w:t xml:space="preserve">. The summer school organised and delivered by an external company was well attended. 210 students in years 7 and 8 enrolled and we achieved 88% attendance over the 5 days. The big incentive was that students were given free tablets to take away. Whilst the impact of this may not be quantitatively measurable, it would have contributed positively to the mental health of the children during these challenging times. </w:t>
            </w:r>
          </w:p>
          <w:p w14:paraId="1E26BC23" w14:textId="15DE511E" w:rsidR="00060707" w:rsidRPr="00060707" w:rsidRDefault="00060707" w:rsidP="00F90F2C">
            <w:pPr>
              <w:ind w:left="-5"/>
              <w:rPr>
                <w:b/>
                <w:color w:val="auto"/>
              </w:rPr>
            </w:pPr>
            <w:r w:rsidRPr="00060707">
              <w:rPr>
                <w:b/>
                <w:color w:val="auto"/>
              </w:rPr>
              <w:t>Glia Learning</w:t>
            </w:r>
          </w:p>
          <w:p w14:paraId="0CDABA0D" w14:textId="7B67EB27" w:rsidR="00060707" w:rsidRPr="00060707" w:rsidRDefault="00060707" w:rsidP="00F90F2C">
            <w:pPr>
              <w:ind w:left="-5"/>
              <w:rPr>
                <w:color w:val="auto"/>
              </w:rPr>
            </w:pPr>
            <w:r w:rsidRPr="00060707">
              <w:rPr>
                <w:color w:val="auto"/>
              </w:rPr>
              <w:t>This has been an effective study skills support for the whole cohort with interpersonal 1-3 counselling for specific students. It has been very effective in motivating students in general and is usually a good kick start to our revision season. Following the session, we provide a revision starter pack for all year 11 students. Perhaps purchasing additional counselling time for specific groups of disadvantaged students will further support their learning.</w:t>
            </w:r>
          </w:p>
          <w:p w14:paraId="1E63F802" w14:textId="77777777" w:rsidR="00F90F2C" w:rsidRDefault="00F90F2C">
            <w:pPr>
              <w:spacing w:before="120" w:after="120"/>
              <w:rPr>
                <w:rFonts w:cs="Arial"/>
                <w:i/>
                <w:iCs/>
              </w:rPr>
            </w:pP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rsidSect="009478E9">
      <w:headerReference w:type="default" r:id="rId8"/>
      <w:footerReference w:type="default" r:id="rId9"/>
      <w:pgSz w:w="11906" w:h="16838"/>
      <w:pgMar w:top="1134" w:right="1276"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BF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4C3E"/>
    <w:multiLevelType w:val="hybridMultilevel"/>
    <w:tmpl w:val="58B8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85A8E"/>
    <w:multiLevelType w:val="hybridMultilevel"/>
    <w:tmpl w:val="84EA931A"/>
    <w:lvl w:ilvl="0" w:tplc="CC1000B4">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B124F76">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DF0142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636DA2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6B03B2E">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46A706">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23028E8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ADE376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C7E12C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80079A"/>
    <w:multiLevelType w:val="hybridMultilevel"/>
    <w:tmpl w:val="9994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2DF78D6"/>
    <w:multiLevelType w:val="hybridMultilevel"/>
    <w:tmpl w:val="F86E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0FB5488"/>
    <w:multiLevelType w:val="hybridMultilevel"/>
    <w:tmpl w:val="B42EC2E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38EB444F"/>
    <w:multiLevelType w:val="hybridMultilevel"/>
    <w:tmpl w:val="9A02A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7C2276D"/>
    <w:multiLevelType w:val="hybridMultilevel"/>
    <w:tmpl w:val="6DEC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6F46A5"/>
    <w:multiLevelType w:val="hybridMultilevel"/>
    <w:tmpl w:val="EFFA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E12B6C"/>
    <w:multiLevelType w:val="hybridMultilevel"/>
    <w:tmpl w:val="9EE8C3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6E4B0A91"/>
    <w:multiLevelType w:val="hybridMultilevel"/>
    <w:tmpl w:val="37EA79CE"/>
    <w:lvl w:ilvl="0" w:tplc="28FC8EBA">
      <w:start w:val="1"/>
      <w:numFmt w:val="decimal"/>
      <w:lvlText w:val="%1."/>
      <w:lvlJc w:val="left"/>
      <w:pPr>
        <w:ind w:left="114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E5F14F7"/>
    <w:multiLevelType w:val="hybridMultilevel"/>
    <w:tmpl w:val="D8B42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22077C"/>
    <w:multiLevelType w:val="hybridMultilevel"/>
    <w:tmpl w:val="922C3E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4A7EE1"/>
    <w:multiLevelType w:val="hybridMultilevel"/>
    <w:tmpl w:val="97C01B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3"/>
  </w:num>
  <w:num w:numId="3">
    <w:abstractNumId w:val="8"/>
  </w:num>
  <w:num w:numId="4">
    <w:abstractNumId w:val="9"/>
  </w:num>
  <w:num w:numId="5">
    <w:abstractNumId w:val="2"/>
  </w:num>
  <w:num w:numId="6">
    <w:abstractNumId w:val="12"/>
  </w:num>
  <w:num w:numId="7">
    <w:abstractNumId w:val="17"/>
  </w:num>
  <w:num w:numId="8">
    <w:abstractNumId w:val="25"/>
  </w:num>
  <w:num w:numId="9">
    <w:abstractNumId w:val="23"/>
  </w:num>
  <w:num w:numId="10">
    <w:abstractNumId w:val="18"/>
  </w:num>
  <w:num w:numId="11">
    <w:abstractNumId w:val="5"/>
  </w:num>
  <w:num w:numId="12">
    <w:abstractNumId w:val="24"/>
  </w:num>
  <w:num w:numId="13">
    <w:abstractNumId w:val="16"/>
  </w:num>
  <w:num w:numId="14">
    <w:abstractNumId w:val="15"/>
  </w:num>
  <w:num w:numId="15">
    <w:abstractNumId w:val="14"/>
  </w:num>
  <w:num w:numId="16">
    <w:abstractNumId w:val="21"/>
  </w:num>
  <w:num w:numId="17">
    <w:abstractNumId w:val="22"/>
  </w:num>
  <w:num w:numId="18">
    <w:abstractNumId w:val="0"/>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10"/>
  </w:num>
  <w:num w:numId="24">
    <w:abstractNumId w:val="20"/>
  </w:num>
  <w:num w:numId="25">
    <w:abstractNumId w:val="10"/>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0C27"/>
    <w:rsid w:val="00060707"/>
    <w:rsid w:val="00066B73"/>
    <w:rsid w:val="000D45B0"/>
    <w:rsid w:val="00120AB1"/>
    <w:rsid w:val="00122B4C"/>
    <w:rsid w:val="001E483A"/>
    <w:rsid w:val="001E7CB7"/>
    <w:rsid w:val="002244D4"/>
    <w:rsid w:val="00263E70"/>
    <w:rsid w:val="002766DA"/>
    <w:rsid w:val="002C062A"/>
    <w:rsid w:val="002D7D1D"/>
    <w:rsid w:val="002F095A"/>
    <w:rsid w:val="0037213A"/>
    <w:rsid w:val="004044AA"/>
    <w:rsid w:val="00431EF6"/>
    <w:rsid w:val="00444128"/>
    <w:rsid w:val="004D7BF7"/>
    <w:rsid w:val="004E6B26"/>
    <w:rsid w:val="005A7163"/>
    <w:rsid w:val="005E22F1"/>
    <w:rsid w:val="005E5BCB"/>
    <w:rsid w:val="005F7F6C"/>
    <w:rsid w:val="00666CD1"/>
    <w:rsid w:val="006E7FB1"/>
    <w:rsid w:val="00723F92"/>
    <w:rsid w:val="00741B9E"/>
    <w:rsid w:val="007513BF"/>
    <w:rsid w:val="00785502"/>
    <w:rsid w:val="007C2F04"/>
    <w:rsid w:val="007D0011"/>
    <w:rsid w:val="007F2CEC"/>
    <w:rsid w:val="007F7C2E"/>
    <w:rsid w:val="00824EB1"/>
    <w:rsid w:val="008C48FA"/>
    <w:rsid w:val="008F324F"/>
    <w:rsid w:val="00900A38"/>
    <w:rsid w:val="00903122"/>
    <w:rsid w:val="009478E9"/>
    <w:rsid w:val="0095269A"/>
    <w:rsid w:val="00952D13"/>
    <w:rsid w:val="009A197F"/>
    <w:rsid w:val="009A3E89"/>
    <w:rsid w:val="009D71E8"/>
    <w:rsid w:val="009E631D"/>
    <w:rsid w:val="00A3539B"/>
    <w:rsid w:val="00A451F4"/>
    <w:rsid w:val="00AB6EBE"/>
    <w:rsid w:val="00AD0CC8"/>
    <w:rsid w:val="00AD7D1E"/>
    <w:rsid w:val="00B15F8B"/>
    <w:rsid w:val="00B3778D"/>
    <w:rsid w:val="00B45545"/>
    <w:rsid w:val="00BC4532"/>
    <w:rsid w:val="00BD7695"/>
    <w:rsid w:val="00BE3A26"/>
    <w:rsid w:val="00BF134B"/>
    <w:rsid w:val="00BF3B27"/>
    <w:rsid w:val="00C00ACE"/>
    <w:rsid w:val="00C37770"/>
    <w:rsid w:val="00CB7EE2"/>
    <w:rsid w:val="00D20FDB"/>
    <w:rsid w:val="00D33FE5"/>
    <w:rsid w:val="00D373CA"/>
    <w:rsid w:val="00D90B6A"/>
    <w:rsid w:val="00D948C7"/>
    <w:rsid w:val="00D975F5"/>
    <w:rsid w:val="00DF740F"/>
    <w:rsid w:val="00E00C78"/>
    <w:rsid w:val="00E17DB2"/>
    <w:rsid w:val="00E563E2"/>
    <w:rsid w:val="00E66558"/>
    <w:rsid w:val="00E74FE7"/>
    <w:rsid w:val="00F731A6"/>
    <w:rsid w:val="00F80490"/>
    <w:rsid w:val="00F842D2"/>
    <w:rsid w:val="00F90F2C"/>
    <w:rsid w:val="00FD5F4E"/>
    <w:rsid w:val="00FE7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customStyle="1" w:styleId="TableGrid">
    <w:name w:val="TableGrid"/>
    <w:rsid w:val="00F842D2"/>
    <w:pPr>
      <w:autoSpaceDN/>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03428">
      <w:bodyDiv w:val="1"/>
      <w:marLeft w:val="0"/>
      <w:marRight w:val="0"/>
      <w:marTop w:val="0"/>
      <w:marBottom w:val="0"/>
      <w:divBdr>
        <w:top w:val="none" w:sz="0" w:space="0" w:color="auto"/>
        <w:left w:val="none" w:sz="0" w:space="0" w:color="auto"/>
        <w:bottom w:val="none" w:sz="0" w:space="0" w:color="auto"/>
        <w:right w:val="none" w:sz="0" w:space="0" w:color="auto"/>
      </w:divBdr>
    </w:div>
    <w:div w:id="658576632">
      <w:bodyDiv w:val="1"/>
      <w:marLeft w:val="0"/>
      <w:marRight w:val="0"/>
      <w:marTop w:val="0"/>
      <w:marBottom w:val="0"/>
      <w:divBdr>
        <w:top w:val="none" w:sz="0" w:space="0" w:color="auto"/>
        <w:left w:val="none" w:sz="0" w:space="0" w:color="auto"/>
        <w:bottom w:val="none" w:sz="0" w:space="0" w:color="auto"/>
        <w:right w:val="none" w:sz="0" w:space="0" w:color="auto"/>
      </w:divBdr>
    </w:div>
    <w:div w:id="718356749">
      <w:bodyDiv w:val="1"/>
      <w:marLeft w:val="0"/>
      <w:marRight w:val="0"/>
      <w:marTop w:val="0"/>
      <w:marBottom w:val="0"/>
      <w:divBdr>
        <w:top w:val="none" w:sz="0" w:space="0" w:color="auto"/>
        <w:left w:val="none" w:sz="0" w:space="0" w:color="auto"/>
        <w:bottom w:val="none" w:sz="0" w:space="0" w:color="auto"/>
        <w:right w:val="none" w:sz="0" w:space="0" w:color="auto"/>
      </w:divBdr>
    </w:div>
    <w:div w:id="814375024">
      <w:bodyDiv w:val="1"/>
      <w:marLeft w:val="0"/>
      <w:marRight w:val="0"/>
      <w:marTop w:val="0"/>
      <w:marBottom w:val="0"/>
      <w:divBdr>
        <w:top w:val="none" w:sz="0" w:space="0" w:color="auto"/>
        <w:left w:val="none" w:sz="0" w:space="0" w:color="auto"/>
        <w:bottom w:val="none" w:sz="0" w:space="0" w:color="auto"/>
        <w:right w:val="none" w:sz="0" w:space="0" w:color="auto"/>
      </w:divBdr>
    </w:div>
    <w:div w:id="1084763229">
      <w:bodyDiv w:val="1"/>
      <w:marLeft w:val="0"/>
      <w:marRight w:val="0"/>
      <w:marTop w:val="0"/>
      <w:marBottom w:val="0"/>
      <w:divBdr>
        <w:top w:val="none" w:sz="0" w:space="0" w:color="auto"/>
        <w:left w:val="none" w:sz="0" w:space="0" w:color="auto"/>
        <w:bottom w:val="none" w:sz="0" w:space="0" w:color="auto"/>
        <w:right w:val="none" w:sz="0" w:space="0" w:color="auto"/>
      </w:divBdr>
    </w:div>
    <w:div w:id="1773234564">
      <w:bodyDiv w:val="1"/>
      <w:marLeft w:val="0"/>
      <w:marRight w:val="0"/>
      <w:marTop w:val="0"/>
      <w:marBottom w:val="0"/>
      <w:divBdr>
        <w:top w:val="none" w:sz="0" w:space="0" w:color="auto"/>
        <w:left w:val="none" w:sz="0" w:space="0" w:color="auto"/>
        <w:bottom w:val="none" w:sz="0" w:space="0" w:color="auto"/>
        <w:right w:val="none" w:sz="0" w:space="0" w:color="auto"/>
      </w:divBdr>
    </w:div>
    <w:div w:id="1791044265">
      <w:bodyDiv w:val="1"/>
      <w:marLeft w:val="0"/>
      <w:marRight w:val="0"/>
      <w:marTop w:val="0"/>
      <w:marBottom w:val="0"/>
      <w:divBdr>
        <w:top w:val="none" w:sz="0" w:space="0" w:color="auto"/>
        <w:left w:val="none" w:sz="0" w:space="0" w:color="auto"/>
        <w:bottom w:val="none" w:sz="0" w:space="0" w:color="auto"/>
        <w:right w:val="none" w:sz="0" w:space="0" w:color="auto"/>
      </w:divBdr>
    </w:div>
    <w:div w:id="2076540785">
      <w:bodyDiv w:val="1"/>
      <w:marLeft w:val="0"/>
      <w:marRight w:val="0"/>
      <w:marTop w:val="0"/>
      <w:marBottom w:val="0"/>
      <w:divBdr>
        <w:top w:val="none" w:sz="0" w:space="0" w:color="auto"/>
        <w:left w:val="none" w:sz="0" w:space="0" w:color="auto"/>
        <w:bottom w:val="none" w:sz="0" w:space="0" w:color="auto"/>
        <w:right w:val="none" w:sz="0" w:space="0" w:color="auto"/>
      </w:divBdr>
    </w:div>
    <w:div w:id="2119828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4EDDA-5FE7-4E87-95DD-D52F01F4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2369</Words>
  <Characters>13506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Mr. Bhogal</cp:lastModifiedBy>
  <cp:revision>2</cp:revision>
  <cp:lastPrinted>2021-12-09T14:38:00Z</cp:lastPrinted>
  <dcterms:created xsi:type="dcterms:W3CDTF">2022-02-10T09:21:00Z</dcterms:created>
  <dcterms:modified xsi:type="dcterms:W3CDTF">2022-02-10T09:21:00Z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